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AF69D" w14:textId="2676C1DF" w:rsidR="00764162" w:rsidRPr="004F01E2" w:rsidRDefault="00764162" w:rsidP="00096871">
      <w:pPr>
        <w:rPr>
          <w:rFonts w:ascii="Calibri" w:eastAsia="Calibri" w:hAnsi="Calibri" w:cs="Calibri"/>
          <w:color w:val="17365D"/>
          <w:szCs w:val="10"/>
        </w:rPr>
      </w:pPr>
      <w:r>
        <w:rPr>
          <w:noProof/>
        </w:rPr>
        <w:drawing>
          <wp:inline distT="0" distB="0" distL="0" distR="0" wp14:anchorId="42320F6D" wp14:editId="7C6B9878">
            <wp:extent cx="5940425" cy="1445895"/>
            <wp:effectExtent l="0" t="0" r="0" b="0"/>
            <wp:docPr id="1318235556" name="Bild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445895"/>
                    </a:xfrm>
                    <a:prstGeom prst="rect">
                      <a:avLst/>
                    </a:prstGeom>
                    <a:noFill/>
                    <a:ln>
                      <a:noFill/>
                    </a:ln>
                  </pic:spPr>
                </pic:pic>
              </a:graphicData>
            </a:graphic>
          </wp:inline>
        </w:drawing>
      </w:r>
    </w:p>
    <w:p w14:paraId="652BDAC7" w14:textId="77777777" w:rsidR="00764162" w:rsidRDefault="00764162" w:rsidP="00096871">
      <w:pPr>
        <w:rPr>
          <w:rFonts w:eastAsia="Calibri"/>
        </w:rPr>
      </w:pPr>
    </w:p>
    <w:p w14:paraId="45AB4251" w14:textId="76DF876E" w:rsidR="00764162" w:rsidRDefault="00764162" w:rsidP="00586CDD">
      <w:pPr>
        <w:rPr>
          <w:rFonts w:eastAsia="Calibri"/>
          <w:b/>
        </w:rPr>
      </w:pPr>
      <w:r w:rsidRPr="00764162">
        <w:rPr>
          <w:rFonts w:eastAsia="Calibri"/>
        </w:rPr>
        <w:drawing>
          <wp:inline distT="0" distB="0" distL="0" distR="0" wp14:anchorId="785B7FE4" wp14:editId="58421CE9">
            <wp:extent cx="5940425" cy="4038600"/>
            <wp:effectExtent l="0" t="0" r="0" b="0"/>
            <wp:docPr id="87778074" name="Bilde 1" descr="Et bilde som inneholder himmel, fjell, landskap,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074" name="Bilde 1" descr="Et bilde som inneholder himmel, fjell, landskap, tekst&#10;&#10;KI-generert innhold kan være feil."/>
                    <pic:cNvPicPr/>
                  </pic:nvPicPr>
                  <pic:blipFill rotWithShape="1">
                    <a:blip r:embed="rId9"/>
                    <a:srcRect b="5046"/>
                    <a:stretch>
                      <a:fillRect/>
                    </a:stretch>
                  </pic:blipFill>
                  <pic:spPr bwMode="auto">
                    <a:xfrm>
                      <a:off x="0" y="0"/>
                      <a:ext cx="5940425" cy="4038600"/>
                    </a:xfrm>
                    <a:prstGeom prst="rect">
                      <a:avLst/>
                    </a:prstGeom>
                    <a:ln>
                      <a:noFill/>
                    </a:ln>
                    <a:extLst>
                      <a:ext uri="{53640926-AAD7-44D8-BBD7-CCE9431645EC}">
                        <a14:shadowObscured xmlns:a14="http://schemas.microsoft.com/office/drawing/2010/main"/>
                      </a:ext>
                    </a:extLst>
                  </pic:spPr>
                </pic:pic>
              </a:graphicData>
            </a:graphic>
          </wp:inline>
        </w:drawing>
      </w:r>
    </w:p>
    <w:p w14:paraId="27C9980D" w14:textId="77777777" w:rsidR="00586CDD" w:rsidRDefault="00586CDD" w:rsidP="00586CDD">
      <w:pPr>
        <w:rPr>
          <w:rFonts w:eastAsia="Calibri"/>
          <w:b/>
        </w:rPr>
      </w:pPr>
    </w:p>
    <w:sdt>
      <w:sdtPr>
        <w:id w:val="-1944444724"/>
        <w:docPartObj>
          <w:docPartGallery w:val="Table of Contents"/>
          <w:docPartUnique/>
        </w:docPartObj>
      </w:sdtPr>
      <w:sdtEndPr>
        <w:rPr>
          <w:rFonts w:ascii="Times New Roman" w:eastAsia="Times New Roman" w:hAnsi="Times New Roman" w:cs="Times New Roman"/>
          <w:b/>
          <w:bCs/>
          <w:color w:val="auto"/>
          <w:sz w:val="24"/>
          <w:szCs w:val="24"/>
          <w:lang w:eastAsia="en-US"/>
        </w:rPr>
      </w:sdtEndPr>
      <w:sdtContent>
        <w:p w14:paraId="36893CA5" w14:textId="2DEF07DE" w:rsidR="00586CDD" w:rsidRDefault="00586CDD">
          <w:pPr>
            <w:pStyle w:val="Overskriftforinnholdsfortegnelse"/>
          </w:pPr>
          <w:r>
            <w:t>Innhold</w:t>
          </w:r>
        </w:p>
        <w:p w14:paraId="22AF47B4" w14:textId="097B70FB" w:rsidR="00F02E7D" w:rsidRDefault="00586CDD">
          <w:pPr>
            <w:pStyle w:val="INNH1"/>
            <w:tabs>
              <w:tab w:val="right" w:leader="dot" w:pos="9345"/>
            </w:tabs>
            <w:rPr>
              <w:rFonts w:asciiTheme="minorHAnsi" w:eastAsiaTheme="minorEastAsia" w:hAnsiTheme="minorHAnsi" w:cstheme="minorBidi"/>
              <w:noProof/>
              <w:kern w:val="2"/>
              <w:lang w:eastAsia="nb-NO"/>
              <w14:ligatures w14:val="standardContextual"/>
            </w:rPr>
          </w:pPr>
          <w:r>
            <w:fldChar w:fldCharType="begin"/>
          </w:r>
          <w:r>
            <w:instrText xml:space="preserve"> TOC \o "1-3" \h \z \u </w:instrText>
          </w:r>
          <w:r>
            <w:fldChar w:fldCharType="separate"/>
          </w:r>
          <w:hyperlink w:anchor="_Toc201141441" w:history="1">
            <w:r w:rsidR="00F02E7D" w:rsidRPr="00BD30EF">
              <w:rPr>
                <w:rStyle w:val="Hyperkobling"/>
                <w:rFonts w:ascii="Calibri" w:eastAsia="Calibri" w:hAnsi="Calibri" w:cs="Calibri"/>
                <w:noProof/>
              </w:rPr>
              <w:t>Innledning</w:t>
            </w:r>
            <w:r w:rsidR="00F02E7D">
              <w:rPr>
                <w:noProof/>
                <w:webHidden/>
              </w:rPr>
              <w:tab/>
            </w:r>
            <w:r w:rsidR="00F02E7D">
              <w:rPr>
                <w:noProof/>
                <w:webHidden/>
              </w:rPr>
              <w:fldChar w:fldCharType="begin"/>
            </w:r>
            <w:r w:rsidR="00F02E7D">
              <w:rPr>
                <w:noProof/>
                <w:webHidden/>
              </w:rPr>
              <w:instrText xml:space="preserve"> PAGEREF _Toc201141441 \h </w:instrText>
            </w:r>
            <w:r w:rsidR="00F02E7D">
              <w:rPr>
                <w:noProof/>
                <w:webHidden/>
              </w:rPr>
            </w:r>
            <w:r w:rsidR="00F02E7D">
              <w:rPr>
                <w:noProof/>
                <w:webHidden/>
              </w:rPr>
              <w:fldChar w:fldCharType="separate"/>
            </w:r>
            <w:r w:rsidR="00F02E7D">
              <w:rPr>
                <w:noProof/>
                <w:webHidden/>
              </w:rPr>
              <w:t>2</w:t>
            </w:r>
            <w:r w:rsidR="00F02E7D">
              <w:rPr>
                <w:noProof/>
                <w:webHidden/>
              </w:rPr>
              <w:fldChar w:fldCharType="end"/>
            </w:r>
          </w:hyperlink>
        </w:p>
        <w:p w14:paraId="395E99F6" w14:textId="1AA2A5A5" w:rsidR="00F02E7D" w:rsidRDefault="00F02E7D">
          <w:pPr>
            <w:pStyle w:val="INNH2"/>
            <w:tabs>
              <w:tab w:val="right" w:leader="dot" w:pos="9345"/>
            </w:tabs>
            <w:rPr>
              <w:rFonts w:asciiTheme="minorHAnsi" w:eastAsiaTheme="minorEastAsia" w:hAnsiTheme="minorHAnsi" w:cstheme="minorBidi"/>
              <w:noProof/>
              <w:kern w:val="2"/>
              <w:lang w:eastAsia="nb-NO"/>
              <w14:ligatures w14:val="standardContextual"/>
            </w:rPr>
          </w:pPr>
          <w:hyperlink w:anchor="_Toc201141442" w:history="1">
            <w:r w:rsidRPr="00BD30EF">
              <w:rPr>
                <w:rStyle w:val="Hyperkobling"/>
                <w:rFonts w:ascii="Calibri" w:eastAsia="Calibri" w:hAnsi="Calibri" w:cs="Calibri"/>
                <w:noProof/>
              </w:rPr>
              <w:t>Om planen</w:t>
            </w:r>
            <w:r>
              <w:rPr>
                <w:noProof/>
                <w:webHidden/>
              </w:rPr>
              <w:tab/>
            </w:r>
            <w:r>
              <w:rPr>
                <w:noProof/>
                <w:webHidden/>
              </w:rPr>
              <w:fldChar w:fldCharType="begin"/>
            </w:r>
            <w:r>
              <w:rPr>
                <w:noProof/>
                <w:webHidden/>
              </w:rPr>
              <w:instrText xml:space="preserve"> PAGEREF _Toc201141442 \h </w:instrText>
            </w:r>
            <w:r>
              <w:rPr>
                <w:noProof/>
                <w:webHidden/>
              </w:rPr>
            </w:r>
            <w:r>
              <w:rPr>
                <w:noProof/>
                <w:webHidden/>
              </w:rPr>
              <w:fldChar w:fldCharType="separate"/>
            </w:r>
            <w:r>
              <w:rPr>
                <w:noProof/>
                <w:webHidden/>
              </w:rPr>
              <w:t>2</w:t>
            </w:r>
            <w:r>
              <w:rPr>
                <w:noProof/>
                <w:webHidden/>
              </w:rPr>
              <w:fldChar w:fldCharType="end"/>
            </w:r>
          </w:hyperlink>
        </w:p>
        <w:p w14:paraId="7D453679" w14:textId="1DBE682D" w:rsidR="00F02E7D" w:rsidRDefault="00F02E7D">
          <w:pPr>
            <w:pStyle w:val="INNH2"/>
            <w:tabs>
              <w:tab w:val="right" w:leader="dot" w:pos="9345"/>
            </w:tabs>
            <w:rPr>
              <w:rFonts w:asciiTheme="minorHAnsi" w:eastAsiaTheme="minorEastAsia" w:hAnsiTheme="minorHAnsi" w:cstheme="minorBidi"/>
              <w:noProof/>
              <w:kern w:val="2"/>
              <w:lang w:eastAsia="nb-NO"/>
              <w14:ligatures w14:val="standardContextual"/>
            </w:rPr>
          </w:pPr>
          <w:hyperlink w:anchor="_Toc201141443" w:history="1">
            <w:r w:rsidRPr="00BD30EF">
              <w:rPr>
                <w:rStyle w:val="Hyperkobling"/>
                <w:rFonts w:ascii="Calibri" w:eastAsia="Calibri" w:hAnsi="Calibri" w:cs="Calibri"/>
                <w:noProof/>
              </w:rPr>
              <w:t>Føringer og rammer</w:t>
            </w:r>
            <w:r>
              <w:rPr>
                <w:noProof/>
                <w:webHidden/>
              </w:rPr>
              <w:tab/>
            </w:r>
            <w:r>
              <w:rPr>
                <w:noProof/>
                <w:webHidden/>
              </w:rPr>
              <w:fldChar w:fldCharType="begin"/>
            </w:r>
            <w:r>
              <w:rPr>
                <w:noProof/>
                <w:webHidden/>
              </w:rPr>
              <w:instrText xml:space="preserve"> PAGEREF _Toc201141443 \h </w:instrText>
            </w:r>
            <w:r>
              <w:rPr>
                <w:noProof/>
                <w:webHidden/>
              </w:rPr>
            </w:r>
            <w:r>
              <w:rPr>
                <w:noProof/>
                <w:webHidden/>
              </w:rPr>
              <w:fldChar w:fldCharType="separate"/>
            </w:r>
            <w:r>
              <w:rPr>
                <w:noProof/>
                <w:webHidden/>
              </w:rPr>
              <w:t>3</w:t>
            </w:r>
            <w:r>
              <w:rPr>
                <w:noProof/>
                <w:webHidden/>
              </w:rPr>
              <w:fldChar w:fldCharType="end"/>
            </w:r>
          </w:hyperlink>
        </w:p>
        <w:p w14:paraId="6347C46E" w14:textId="5B2D0F99" w:rsidR="00F02E7D" w:rsidRDefault="00F02E7D">
          <w:pPr>
            <w:pStyle w:val="INNH2"/>
            <w:tabs>
              <w:tab w:val="right" w:leader="dot" w:pos="9345"/>
            </w:tabs>
            <w:rPr>
              <w:rFonts w:asciiTheme="minorHAnsi" w:eastAsiaTheme="minorEastAsia" w:hAnsiTheme="minorHAnsi" w:cstheme="minorBidi"/>
              <w:noProof/>
              <w:kern w:val="2"/>
              <w:lang w:eastAsia="nb-NO"/>
              <w14:ligatures w14:val="standardContextual"/>
            </w:rPr>
          </w:pPr>
          <w:hyperlink w:anchor="_Toc201141444" w:history="1">
            <w:r w:rsidRPr="00BD30EF">
              <w:rPr>
                <w:rStyle w:val="Hyperkobling"/>
                <w:rFonts w:ascii="Calibri" w:eastAsia="Calibri" w:hAnsi="Calibri" w:cs="Calibri"/>
                <w:noProof/>
              </w:rPr>
              <w:t>Utfordringer og satsinger</w:t>
            </w:r>
            <w:r>
              <w:rPr>
                <w:noProof/>
                <w:webHidden/>
              </w:rPr>
              <w:tab/>
            </w:r>
            <w:r>
              <w:rPr>
                <w:noProof/>
                <w:webHidden/>
              </w:rPr>
              <w:fldChar w:fldCharType="begin"/>
            </w:r>
            <w:r>
              <w:rPr>
                <w:noProof/>
                <w:webHidden/>
              </w:rPr>
              <w:instrText xml:space="preserve"> PAGEREF _Toc201141444 \h </w:instrText>
            </w:r>
            <w:r>
              <w:rPr>
                <w:noProof/>
                <w:webHidden/>
              </w:rPr>
            </w:r>
            <w:r>
              <w:rPr>
                <w:noProof/>
                <w:webHidden/>
              </w:rPr>
              <w:fldChar w:fldCharType="separate"/>
            </w:r>
            <w:r>
              <w:rPr>
                <w:noProof/>
                <w:webHidden/>
              </w:rPr>
              <w:t>5</w:t>
            </w:r>
            <w:r>
              <w:rPr>
                <w:noProof/>
                <w:webHidden/>
              </w:rPr>
              <w:fldChar w:fldCharType="end"/>
            </w:r>
          </w:hyperlink>
        </w:p>
        <w:p w14:paraId="53478F32" w14:textId="51C3D6C9" w:rsidR="00F02E7D" w:rsidRDefault="00F02E7D">
          <w:pPr>
            <w:pStyle w:val="INNH1"/>
            <w:tabs>
              <w:tab w:val="right" w:leader="dot" w:pos="9345"/>
            </w:tabs>
            <w:rPr>
              <w:rFonts w:asciiTheme="minorHAnsi" w:eastAsiaTheme="minorEastAsia" w:hAnsiTheme="minorHAnsi" w:cstheme="minorBidi"/>
              <w:noProof/>
              <w:kern w:val="2"/>
              <w:lang w:eastAsia="nb-NO"/>
              <w14:ligatures w14:val="standardContextual"/>
            </w:rPr>
          </w:pPr>
          <w:hyperlink w:anchor="_Toc201141445" w:history="1">
            <w:r w:rsidRPr="00BD30EF">
              <w:rPr>
                <w:rStyle w:val="Hyperkobling"/>
                <w:rFonts w:ascii="Calibri" w:eastAsia="Calibri" w:hAnsi="Calibri" w:cs="Calibri"/>
                <w:noProof/>
              </w:rPr>
              <w:t>Mål og strategier</w:t>
            </w:r>
            <w:r>
              <w:rPr>
                <w:noProof/>
                <w:webHidden/>
              </w:rPr>
              <w:tab/>
            </w:r>
            <w:r>
              <w:rPr>
                <w:noProof/>
                <w:webHidden/>
              </w:rPr>
              <w:fldChar w:fldCharType="begin"/>
            </w:r>
            <w:r>
              <w:rPr>
                <w:noProof/>
                <w:webHidden/>
              </w:rPr>
              <w:instrText xml:space="preserve"> PAGEREF _Toc201141445 \h </w:instrText>
            </w:r>
            <w:r>
              <w:rPr>
                <w:noProof/>
                <w:webHidden/>
              </w:rPr>
            </w:r>
            <w:r>
              <w:rPr>
                <w:noProof/>
                <w:webHidden/>
              </w:rPr>
              <w:fldChar w:fldCharType="separate"/>
            </w:r>
            <w:r>
              <w:rPr>
                <w:noProof/>
                <w:webHidden/>
              </w:rPr>
              <w:t>6</w:t>
            </w:r>
            <w:r>
              <w:rPr>
                <w:noProof/>
                <w:webHidden/>
              </w:rPr>
              <w:fldChar w:fldCharType="end"/>
            </w:r>
          </w:hyperlink>
        </w:p>
        <w:p w14:paraId="7B4D45D4" w14:textId="4D9159A0" w:rsidR="00F02E7D" w:rsidRDefault="00F02E7D">
          <w:pPr>
            <w:pStyle w:val="INNH2"/>
            <w:tabs>
              <w:tab w:val="right" w:leader="dot" w:pos="9345"/>
            </w:tabs>
            <w:rPr>
              <w:rFonts w:asciiTheme="minorHAnsi" w:eastAsiaTheme="minorEastAsia" w:hAnsiTheme="minorHAnsi" w:cstheme="minorBidi"/>
              <w:noProof/>
              <w:kern w:val="2"/>
              <w:lang w:eastAsia="nb-NO"/>
              <w14:ligatures w14:val="standardContextual"/>
            </w:rPr>
          </w:pPr>
          <w:hyperlink w:anchor="_Toc201141446" w:history="1">
            <w:r w:rsidRPr="00BD30EF">
              <w:rPr>
                <w:rStyle w:val="Hyperkobling"/>
                <w:rFonts w:ascii="Calibri" w:eastAsia="Calibri" w:hAnsi="Calibri" w:cs="Calibri"/>
                <w:noProof/>
              </w:rPr>
              <w:t>Hovedmål</w:t>
            </w:r>
            <w:r>
              <w:rPr>
                <w:noProof/>
                <w:webHidden/>
              </w:rPr>
              <w:tab/>
            </w:r>
            <w:r>
              <w:rPr>
                <w:noProof/>
                <w:webHidden/>
              </w:rPr>
              <w:fldChar w:fldCharType="begin"/>
            </w:r>
            <w:r>
              <w:rPr>
                <w:noProof/>
                <w:webHidden/>
              </w:rPr>
              <w:instrText xml:space="preserve"> PAGEREF _Toc201141446 \h </w:instrText>
            </w:r>
            <w:r>
              <w:rPr>
                <w:noProof/>
                <w:webHidden/>
              </w:rPr>
            </w:r>
            <w:r>
              <w:rPr>
                <w:noProof/>
                <w:webHidden/>
              </w:rPr>
              <w:fldChar w:fldCharType="separate"/>
            </w:r>
            <w:r>
              <w:rPr>
                <w:noProof/>
                <w:webHidden/>
              </w:rPr>
              <w:t>7</w:t>
            </w:r>
            <w:r>
              <w:rPr>
                <w:noProof/>
                <w:webHidden/>
              </w:rPr>
              <w:fldChar w:fldCharType="end"/>
            </w:r>
          </w:hyperlink>
        </w:p>
        <w:p w14:paraId="5E7CDFF5" w14:textId="0DF183CD" w:rsidR="00F02E7D" w:rsidRDefault="00F02E7D">
          <w:pPr>
            <w:pStyle w:val="INNH2"/>
            <w:tabs>
              <w:tab w:val="right" w:leader="dot" w:pos="9345"/>
            </w:tabs>
            <w:rPr>
              <w:rFonts w:asciiTheme="minorHAnsi" w:eastAsiaTheme="minorEastAsia" w:hAnsiTheme="minorHAnsi" w:cstheme="minorBidi"/>
              <w:noProof/>
              <w:kern w:val="2"/>
              <w:lang w:eastAsia="nb-NO"/>
              <w14:ligatures w14:val="standardContextual"/>
            </w:rPr>
          </w:pPr>
          <w:hyperlink w:anchor="_Toc201141447" w:history="1">
            <w:r w:rsidRPr="00BD30EF">
              <w:rPr>
                <w:rStyle w:val="Hyperkobling"/>
                <w:rFonts w:ascii="Calibri" w:eastAsia="Calibri" w:hAnsi="Calibri" w:cs="Calibri"/>
                <w:noProof/>
                <w:lang w:val="en-GB"/>
              </w:rPr>
              <w:t>Strategier</w:t>
            </w:r>
            <w:r>
              <w:rPr>
                <w:noProof/>
                <w:webHidden/>
              </w:rPr>
              <w:tab/>
            </w:r>
            <w:r>
              <w:rPr>
                <w:noProof/>
                <w:webHidden/>
              </w:rPr>
              <w:fldChar w:fldCharType="begin"/>
            </w:r>
            <w:r>
              <w:rPr>
                <w:noProof/>
                <w:webHidden/>
              </w:rPr>
              <w:instrText xml:space="preserve"> PAGEREF _Toc201141447 \h </w:instrText>
            </w:r>
            <w:r>
              <w:rPr>
                <w:noProof/>
                <w:webHidden/>
              </w:rPr>
            </w:r>
            <w:r>
              <w:rPr>
                <w:noProof/>
                <w:webHidden/>
              </w:rPr>
              <w:fldChar w:fldCharType="separate"/>
            </w:r>
            <w:r>
              <w:rPr>
                <w:noProof/>
                <w:webHidden/>
              </w:rPr>
              <w:t>8</w:t>
            </w:r>
            <w:r>
              <w:rPr>
                <w:noProof/>
                <w:webHidden/>
              </w:rPr>
              <w:fldChar w:fldCharType="end"/>
            </w:r>
          </w:hyperlink>
        </w:p>
        <w:p w14:paraId="77A8A346" w14:textId="67920892" w:rsidR="00F02E7D" w:rsidRDefault="00F02E7D">
          <w:pPr>
            <w:pStyle w:val="INNH1"/>
            <w:tabs>
              <w:tab w:val="right" w:leader="dot" w:pos="9345"/>
            </w:tabs>
            <w:rPr>
              <w:rFonts w:asciiTheme="minorHAnsi" w:eastAsiaTheme="minorEastAsia" w:hAnsiTheme="minorHAnsi" w:cstheme="minorBidi"/>
              <w:noProof/>
              <w:kern w:val="2"/>
              <w:lang w:eastAsia="nb-NO"/>
              <w14:ligatures w14:val="standardContextual"/>
            </w:rPr>
          </w:pPr>
          <w:hyperlink w:anchor="_Toc201141448" w:history="1">
            <w:r w:rsidRPr="00BD30EF">
              <w:rPr>
                <w:rStyle w:val="Hyperkobling"/>
                <w:rFonts w:ascii="Calibri" w:eastAsia="Calibri" w:hAnsi="Calibri" w:cs="Calibri"/>
                <w:noProof/>
                <w:lang w:val="en-GB"/>
              </w:rPr>
              <w:t>Overordnet arealstrategi</w:t>
            </w:r>
            <w:r>
              <w:rPr>
                <w:noProof/>
                <w:webHidden/>
              </w:rPr>
              <w:tab/>
            </w:r>
            <w:r>
              <w:rPr>
                <w:noProof/>
                <w:webHidden/>
              </w:rPr>
              <w:fldChar w:fldCharType="begin"/>
            </w:r>
            <w:r>
              <w:rPr>
                <w:noProof/>
                <w:webHidden/>
              </w:rPr>
              <w:instrText xml:space="preserve"> PAGEREF _Toc201141448 \h </w:instrText>
            </w:r>
            <w:r>
              <w:rPr>
                <w:noProof/>
                <w:webHidden/>
              </w:rPr>
            </w:r>
            <w:r>
              <w:rPr>
                <w:noProof/>
                <w:webHidden/>
              </w:rPr>
              <w:fldChar w:fldCharType="separate"/>
            </w:r>
            <w:r>
              <w:rPr>
                <w:noProof/>
                <w:webHidden/>
              </w:rPr>
              <w:t>9</w:t>
            </w:r>
            <w:r>
              <w:rPr>
                <w:noProof/>
                <w:webHidden/>
              </w:rPr>
              <w:fldChar w:fldCharType="end"/>
            </w:r>
          </w:hyperlink>
        </w:p>
        <w:p w14:paraId="49E8658D" w14:textId="1B8CBC81" w:rsidR="00586CDD" w:rsidRDefault="00586CDD">
          <w:r>
            <w:rPr>
              <w:b/>
              <w:bCs/>
            </w:rPr>
            <w:fldChar w:fldCharType="end"/>
          </w:r>
        </w:p>
      </w:sdtContent>
    </w:sdt>
    <w:p w14:paraId="3C708EE7" w14:textId="77777777" w:rsidR="00A77B3E" w:rsidRDefault="00000000">
      <w:pPr>
        <w:pStyle w:val="Overskrift1"/>
        <w:spacing w:before="0" w:after="0"/>
        <w:rPr>
          <w:rFonts w:ascii="Calibri" w:eastAsia="Calibri" w:hAnsi="Calibri" w:cs="Calibri"/>
          <w:color w:val="374C80"/>
        </w:rPr>
      </w:pPr>
      <w:r>
        <w:rPr>
          <w:rFonts w:ascii="Calibri" w:eastAsia="Calibri" w:hAnsi="Calibri" w:cs="Calibri"/>
          <w:b w:val="0"/>
          <w:color w:val="000000"/>
          <w:sz w:val="22"/>
        </w:rPr>
        <w:br w:type="page"/>
      </w:r>
      <w:bookmarkStart w:id="0" w:name="_Toc201141441"/>
      <w:r>
        <w:rPr>
          <w:rFonts w:ascii="Calibri" w:eastAsia="Calibri" w:hAnsi="Calibri" w:cs="Calibri"/>
          <w:color w:val="374C80"/>
        </w:rPr>
        <w:lastRenderedPageBreak/>
        <w:t>Innledning</w:t>
      </w:r>
      <w:bookmarkEnd w:id="0"/>
    </w:p>
    <w:p w14:paraId="45271793" w14:textId="77777777" w:rsidR="00A77B3E" w:rsidRDefault="00A77B3E">
      <w:pPr>
        <w:rPr>
          <w:rFonts w:ascii="Calibri" w:eastAsia="Calibri" w:hAnsi="Calibri" w:cs="Calibri"/>
          <w:color w:val="000000"/>
          <w:sz w:val="22"/>
        </w:rPr>
      </w:pPr>
    </w:p>
    <w:p w14:paraId="07C02C36"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Kommuneplanens samfunnsdel 2025-2037 er et overordnet styringsdokument som gir langsiktig retning for samfunnsutviklingen. Dokumentet bygger på FNs bærekraftsmål og vektlegger bærekraftig utvikling innen miljø, økonomi og sosiale forhold. Samfunnsdelen skal bidra til å sikre innbyggernes trygghet og velferd, tilrettelegge for næringsutvikling, og ivareta kommunens natur- og kulturressurser.</w:t>
      </w:r>
    </w:p>
    <w:p w14:paraId="794DCD7E" w14:textId="1A92CB16"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Kommunefakta fra Statistisk Sentralbyrå:</w:t>
      </w:r>
      <w:r w:rsidR="004F01E2">
        <w:rPr>
          <w:rFonts w:ascii="Calibri" w:eastAsia="Calibri" w:hAnsi="Calibri" w:cs="Calibri"/>
          <w:color w:val="000000"/>
          <w:sz w:val="22"/>
        </w:rPr>
        <w:t xml:space="preserve"> </w:t>
      </w:r>
      <w:hyperlink r:id="rId10" w:history="1">
        <w:r w:rsidR="00A77B3E">
          <w:rPr>
            <w:rFonts w:ascii="Calibri" w:eastAsia="Calibri" w:hAnsi="Calibri" w:cs="Calibri"/>
            <w:color w:val="0000FF"/>
            <w:sz w:val="22"/>
            <w:u w:val="single"/>
          </w:rPr>
          <w:t>https://www.ssb.no/kommunefakta/gjemnes</w:t>
        </w:r>
      </w:hyperlink>
    </w:p>
    <w:p w14:paraId="38D14639" w14:textId="77777777" w:rsidR="00A77B3E" w:rsidRDefault="00000000">
      <w:pPr>
        <w:pStyle w:val="Overskrift2"/>
        <w:rPr>
          <w:rFonts w:ascii="Calibri" w:eastAsia="Calibri" w:hAnsi="Calibri" w:cs="Calibri"/>
          <w:i w:val="0"/>
          <w:color w:val="0070C0"/>
          <w:sz w:val="26"/>
        </w:rPr>
      </w:pPr>
      <w:bookmarkStart w:id="1" w:name="_Toc201141442"/>
      <w:r>
        <w:rPr>
          <w:rFonts w:ascii="Calibri" w:eastAsia="Calibri" w:hAnsi="Calibri" w:cs="Calibri"/>
          <w:i w:val="0"/>
          <w:color w:val="0070C0"/>
          <w:sz w:val="26"/>
        </w:rPr>
        <w:t>Om planen</w:t>
      </w:r>
      <w:bookmarkEnd w:id="1"/>
    </w:p>
    <w:p w14:paraId="005F5E1A"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Kommuneplanens samfunnsdel er kommunens overordnede styringsdokument og verktøy for helhetlig planlegging. Den tar stilling til langsiktige utfordringer, mål og strategier for Gjemnessamfunnet og kommunen som organisasjon. Planen danner utgangspunktet for hvordan vi skal ivareta kommunale, regionale og nasjonale mål, interesser og oppgaver. Planen tar utgangspunkt i den kommunale planstrategien og legger retningslinjer og pålegg fra statlige og regionale myndigheter til grunn. Kommunen skal ha en samlet kommuneplan som omfatter en samfunnsdel med handlingsdel og en arealdel. Planen inngår i kommunens plansystem.</w:t>
      </w:r>
    </w:p>
    <w:tbl>
      <w:tblPr>
        <w:tblStyle w:val="image"/>
        <w:tblW w:w="0" w:type="auto"/>
        <w:jc w:val="center"/>
        <w:tblCellSpacing w:w="15" w:type="dxa"/>
        <w:tblCellMar>
          <w:top w:w="15" w:type="dxa"/>
          <w:left w:w="15" w:type="dxa"/>
          <w:bottom w:w="15" w:type="dxa"/>
          <w:right w:w="15" w:type="dxa"/>
        </w:tblCellMar>
        <w:tblLook w:val="05E0" w:firstRow="1" w:lastRow="1" w:firstColumn="1" w:lastColumn="1" w:noHBand="0" w:noVBand="1"/>
      </w:tblPr>
      <w:tblGrid>
        <w:gridCol w:w="9090"/>
      </w:tblGrid>
      <w:tr w:rsidR="00F8153A" w14:paraId="1FB11DF8" w14:textId="77777777">
        <w:trPr>
          <w:tblCellSpacing w:w="15" w:type="dxa"/>
          <w:jc w:val="center"/>
        </w:trPr>
        <w:tc>
          <w:tcPr>
            <w:tcW w:w="0" w:type="auto"/>
            <w:tcMar>
              <w:top w:w="15" w:type="dxa"/>
              <w:left w:w="15" w:type="dxa"/>
              <w:bottom w:w="15" w:type="dxa"/>
              <w:right w:w="15" w:type="dxa"/>
            </w:tcMar>
            <w:vAlign w:val="center"/>
            <w:hideMark/>
          </w:tcPr>
          <w:p w14:paraId="3C86EFFA" w14:textId="77777777" w:rsidR="00A77B3E" w:rsidRDefault="00000000">
            <w:pPr>
              <w:spacing w:afterAutospacing="1"/>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2C5B004C" wp14:editId="3A271B95">
                  <wp:extent cx="5715000" cy="4229100"/>
                  <wp:effectExtent l="0" t="0" r="0" b="0"/>
                  <wp:docPr id="100001" name="Bild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1"/>
                          <a:stretch>
                            <a:fillRect/>
                          </a:stretch>
                        </pic:blipFill>
                        <pic:spPr>
                          <a:xfrm>
                            <a:off x="0" y="0"/>
                            <a:ext cx="5715000" cy="4229100"/>
                          </a:xfrm>
                          <a:prstGeom prst="rect">
                            <a:avLst/>
                          </a:prstGeom>
                        </pic:spPr>
                      </pic:pic>
                    </a:graphicData>
                  </a:graphic>
                </wp:inline>
              </w:drawing>
            </w:r>
          </w:p>
        </w:tc>
      </w:tr>
    </w:tbl>
    <w:p w14:paraId="68D765E5"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 </w:t>
      </w:r>
    </w:p>
    <w:p w14:paraId="2A6CE1E0"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Plansystemet skal sikre gjennomføring av politiske mål, tiltak og prioriteringer. Det skal være sammenheng og samsvar - rød tråd - mellom de ulike nivåene i systemet. </w:t>
      </w:r>
    </w:p>
    <w:p w14:paraId="2E22267E" w14:textId="77777777" w:rsidR="00A77B3E" w:rsidRDefault="00A77B3E">
      <w:pPr>
        <w:spacing w:afterAutospacing="1"/>
        <w:rPr>
          <w:rFonts w:ascii="Calibri" w:eastAsia="Calibri" w:hAnsi="Calibri" w:cs="Calibri"/>
          <w:color w:val="000000"/>
          <w:sz w:val="22"/>
        </w:rPr>
      </w:pPr>
      <w:hyperlink r:id="rId12" w:history="1">
        <w:r>
          <w:rPr>
            <w:rFonts w:ascii="Calibri" w:eastAsia="Calibri" w:hAnsi="Calibri" w:cs="Calibri"/>
            <w:color w:val="0000FF"/>
            <w:sz w:val="22"/>
            <w:u w:val="single"/>
          </w:rPr>
          <w:t>Alle vedtatte planer og styringsdokumenter ligger ute på kommunens nettside (gjemnes.kommune.no)</w:t>
        </w:r>
      </w:hyperlink>
    </w:p>
    <w:p w14:paraId="6F2B7AA0" w14:textId="77777777" w:rsidR="00A77B3E" w:rsidRDefault="00000000">
      <w:pPr>
        <w:pStyle w:val="Overskrift2"/>
        <w:rPr>
          <w:rFonts w:ascii="Calibri" w:eastAsia="Calibri" w:hAnsi="Calibri" w:cs="Calibri"/>
          <w:i w:val="0"/>
          <w:color w:val="0070C0"/>
          <w:sz w:val="26"/>
        </w:rPr>
      </w:pPr>
      <w:bookmarkStart w:id="2" w:name="_Toc201141443"/>
      <w:r>
        <w:rPr>
          <w:rFonts w:ascii="Calibri" w:eastAsia="Calibri" w:hAnsi="Calibri" w:cs="Calibri"/>
          <w:i w:val="0"/>
          <w:color w:val="0070C0"/>
          <w:sz w:val="26"/>
        </w:rPr>
        <w:lastRenderedPageBreak/>
        <w:t>Føringer og rammer</w:t>
      </w:r>
      <w:bookmarkEnd w:id="2"/>
    </w:p>
    <w:p w14:paraId="59BCC829"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Lover, forskrifter, politiske vedtak og overordnede styringssignaler fra stat, fylke og kommune samt kommunens økonomi rammer inn kommuneplanens samfunnsdel. </w:t>
      </w:r>
    </w:p>
    <w:p w14:paraId="3A57AAEE"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Føringer som har vært viktige i arbeidet med samfunnsdelen </w:t>
      </w:r>
    </w:p>
    <w:p w14:paraId="504544BA"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FNs bærekraftsmål</w:t>
      </w:r>
    </w:p>
    <w:p w14:paraId="0C6A6C5D"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nasjonale forventninger til regional og kommunal planlegging</w:t>
      </w:r>
    </w:p>
    <w:p w14:paraId="69CBE8A0"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regionale planer</w:t>
      </w:r>
    </w:p>
    <w:p w14:paraId="4EA82ED8"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samarbeid på Nordmøre samt nabokommunene i Romsdal</w:t>
      </w:r>
    </w:p>
    <w:p w14:paraId="251A03D0"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planstrategi og planprogram kommuneplanens samfunnsdel</w:t>
      </w:r>
    </w:p>
    <w:p w14:paraId="72111940"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lovpålagt oversiktsdokument over folkehelse</w:t>
      </w:r>
    </w:p>
    <w:p w14:paraId="1502B286"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ungdata 2024</w:t>
      </w:r>
    </w:p>
    <w:p w14:paraId="23878557" w14:textId="77777777" w:rsidR="00A77B3E" w:rsidRDefault="00000000">
      <w:pPr>
        <w:numPr>
          <w:ilvl w:val="0"/>
          <w:numId w:val="1"/>
        </w:numPr>
        <w:spacing w:afterAutospacing="1"/>
        <w:rPr>
          <w:rFonts w:ascii="Calibri" w:eastAsia="Calibri" w:hAnsi="Calibri" w:cs="Calibri"/>
          <w:color w:val="000000"/>
          <w:sz w:val="22"/>
        </w:rPr>
      </w:pPr>
      <w:r>
        <w:rPr>
          <w:rFonts w:ascii="Calibri" w:eastAsia="Calibri" w:hAnsi="Calibri" w:cs="Calibri"/>
          <w:color w:val="000000"/>
          <w:sz w:val="22"/>
        </w:rPr>
        <w:t>FNs konvensjon om rettigheter til mennesker med nedsatt funksjonsevne (CRPD)</w:t>
      </w:r>
    </w:p>
    <w:p w14:paraId="21131919"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FNs bærekraftsmål </w:t>
      </w:r>
    </w:p>
    <w:p w14:paraId="74B69A49"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FN har vedtatt 17 utviklingsmål for å fremme økonomisk, sosial og miljømessig bærekraft i hele verden. Regjeringen har bestemt at de 17 bærekraftsmålene skal være det politiske hovedsporet for arbeidet med de største utfordringene i Norge. Alle kommuner må ta stilling til bærekraftsmålene i sin planlegging. </w:t>
      </w:r>
    </w:p>
    <w:p w14:paraId="1C49EA4B" w14:textId="77777777" w:rsidR="00A77B3E" w:rsidRDefault="00A77B3E">
      <w:pPr>
        <w:spacing w:afterAutospacing="1"/>
        <w:rPr>
          <w:rFonts w:ascii="Calibri" w:eastAsia="Calibri" w:hAnsi="Calibri" w:cs="Calibri"/>
          <w:color w:val="000000"/>
          <w:sz w:val="22"/>
        </w:rPr>
      </w:pPr>
      <w:hyperlink r:id="rId13" w:history="1">
        <w:r>
          <w:rPr>
            <w:rFonts w:ascii="Calibri" w:eastAsia="Calibri" w:hAnsi="Calibri" w:cs="Calibri"/>
            <w:color w:val="0000FF"/>
            <w:sz w:val="22"/>
            <w:u w:val="single"/>
          </w:rPr>
          <w:t>Les om FNs bærekraftsmål på nettsiden til FN (fn.no)</w:t>
        </w:r>
      </w:hyperlink>
    </w:p>
    <w:tbl>
      <w:tblPr>
        <w:tblStyle w:val="image"/>
        <w:tblW w:w="0" w:type="auto"/>
        <w:jc w:val="center"/>
        <w:tblCellSpacing w:w="15" w:type="dxa"/>
        <w:tblCellMar>
          <w:top w:w="15" w:type="dxa"/>
          <w:left w:w="15" w:type="dxa"/>
          <w:bottom w:w="15" w:type="dxa"/>
          <w:right w:w="15" w:type="dxa"/>
        </w:tblCellMar>
        <w:tblLook w:val="05E0" w:firstRow="1" w:lastRow="1" w:firstColumn="1" w:lastColumn="1" w:noHBand="0" w:noVBand="1"/>
      </w:tblPr>
      <w:tblGrid>
        <w:gridCol w:w="9090"/>
      </w:tblGrid>
      <w:tr w:rsidR="00F8153A" w14:paraId="5F08EC15" w14:textId="77777777">
        <w:trPr>
          <w:tblCellSpacing w:w="15" w:type="dxa"/>
          <w:jc w:val="center"/>
        </w:trPr>
        <w:tc>
          <w:tcPr>
            <w:tcW w:w="0" w:type="auto"/>
            <w:tcMar>
              <w:top w:w="15" w:type="dxa"/>
              <w:left w:w="15" w:type="dxa"/>
              <w:bottom w:w="15" w:type="dxa"/>
              <w:right w:w="15" w:type="dxa"/>
            </w:tcMar>
            <w:vAlign w:val="center"/>
            <w:hideMark/>
          </w:tcPr>
          <w:p w14:paraId="5AADF7D1" w14:textId="77777777" w:rsidR="00A77B3E" w:rsidRDefault="00000000">
            <w:pPr>
              <w:spacing w:afterAutospacing="1"/>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0959F0E8" wp14:editId="5A7BBC96">
                  <wp:extent cx="5715000" cy="3038475"/>
                  <wp:effectExtent l="0" t="0" r="0" b="0"/>
                  <wp:docPr id="100003" name="Bild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4"/>
                          <a:stretch>
                            <a:fillRect/>
                          </a:stretch>
                        </pic:blipFill>
                        <pic:spPr>
                          <a:xfrm>
                            <a:off x="0" y="0"/>
                            <a:ext cx="5715000" cy="3038475"/>
                          </a:xfrm>
                          <a:prstGeom prst="rect">
                            <a:avLst/>
                          </a:prstGeom>
                        </pic:spPr>
                      </pic:pic>
                    </a:graphicData>
                  </a:graphic>
                </wp:inline>
              </w:drawing>
            </w:r>
          </w:p>
        </w:tc>
      </w:tr>
    </w:tbl>
    <w:p w14:paraId="7455D5B1"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Illustrasjon viser FNs 17 bærekraftsmål. </w:t>
      </w:r>
      <w:r>
        <w:rPr>
          <w:rFonts w:ascii="Calibri" w:eastAsia="Calibri" w:hAnsi="Calibri" w:cs="Calibri"/>
          <w:color w:val="000000"/>
          <w:sz w:val="22"/>
        </w:rPr>
        <w:br/>
        <w:t>Kilde: FN-sambandet</w:t>
      </w:r>
    </w:p>
    <w:p w14:paraId="1BF3CF01"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Nasjonale forventninger </w:t>
      </w:r>
    </w:p>
    <w:p w14:paraId="73591BD2"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Gjennom Nasjonale forventninger til regional og kommunal planlegging 2023–2027 synliggjøres regjeringens viktigste prioriteringer på planområdet for den kommende fireårsperioden. Forventningene er disse områdene </w:t>
      </w:r>
    </w:p>
    <w:p w14:paraId="3C8D4BEA" w14:textId="77777777" w:rsidR="00A77B3E" w:rsidRDefault="00000000">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lastRenderedPageBreak/>
        <w:t>samordning og samarbeid i planleggingen</w:t>
      </w:r>
    </w:p>
    <w:p w14:paraId="13A616F8" w14:textId="77777777" w:rsidR="00A77B3E" w:rsidRDefault="00000000">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trygge og inkluderende lokalsamfunn</w:t>
      </w:r>
    </w:p>
    <w:p w14:paraId="65CBDC18" w14:textId="77777777" w:rsidR="00A77B3E" w:rsidRDefault="00000000">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velferd og bærekraftig verdiskaping</w:t>
      </w:r>
    </w:p>
    <w:p w14:paraId="58C760CE" w14:textId="77777777" w:rsidR="00A77B3E" w:rsidRDefault="00000000">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klima, natur og miljø for fremtida</w:t>
      </w:r>
    </w:p>
    <w:p w14:paraId="73D9A1BD" w14:textId="77777777" w:rsidR="00A77B3E" w:rsidRDefault="00000000">
      <w:pPr>
        <w:numPr>
          <w:ilvl w:val="0"/>
          <w:numId w:val="2"/>
        </w:numPr>
        <w:spacing w:afterAutospacing="1"/>
        <w:rPr>
          <w:rFonts w:ascii="Calibri" w:eastAsia="Calibri" w:hAnsi="Calibri" w:cs="Calibri"/>
          <w:color w:val="000000"/>
          <w:sz w:val="22"/>
        </w:rPr>
      </w:pPr>
      <w:r>
        <w:rPr>
          <w:rFonts w:ascii="Calibri" w:eastAsia="Calibri" w:hAnsi="Calibri" w:cs="Calibri"/>
          <w:color w:val="000000"/>
          <w:sz w:val="22"/>
        </w:rPr>
        <w:t>samfunnssikkerhet og beredskap </w:t>
      </w:r>
    </w:p>
    <w:p w14:paraId="7F1EC6DE" w14:textId="77777777" w:rsidR="00A77B3E" w:rsidRDefault="00A77B3E">
      <w:pPr>
        <w:spacing w:afterAutospacing="1"/>
        <w:rPr>
          <w:rFonts w:ascii="Calibri" w:eastAsia="Calibri" w:hAnsi="Calibri" w:cs="Calibri"/>
          <w:color w:val="000000"/>
          <w:sz w:val="22"/>
        </w:rPr>
      </w:pPr>
      <w:hyperlink r:id="rId15" w:history="1">
        <w:r>
          <w:rPr>
            <w:rFonts w:ascii="Calibri" w:eastAsia="Calibri" w:hAnsi="Calibri" w:cs="Calibri"/>
            <w:color w:val="0000FF"/>
            <w:sz w:val="22"/>
            <w:u w:val="single"/>
          </w:rPr>
          <w:t>Les om nasjonale forventninger på nettsidene til regjeringen (regjeringen.no)</w:t>
        </w:r>
      </w:hyperlink>
    </w:p>
    <w:p w14:paraId="5AC0328D"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Regionale planer </w:t>
      </w:r>
    </w:p>
    <w:p w14:paraId="1A602776"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Regional planlegging skal bidra til utvikling, samarbeid og samhandling i fylket. Den regionale planstrategien og fylkesplanen ligger til grunn for både statlig og kommunal virksomhet og planlegging i fylket. </w:t>
      </w:r>
    </w:p>
    <w:p w14:paraId="75D6A458" w14:textId="77777777" w:rsidR="00A77B3E" w:rsidRDefault="00A77B3E">
      <w:pPr>
        <w:spacing w:afterAutospacing="1"/>
        <w:rPr>
          <w:rFonts w:ascii="Calibri" w:eastAsia="Calibri" w:hAnsi="Calibri" w:cs="Calibri"/>
          <w:color w:val="000000"/>
          <w:sz w:val="22"/>
        </w:rPr>
      </w:pPr>
      <w:hyperlink r:id="rId16" w:history="1">
        <w:r>
          <w:rPr>
            <w:rFonts w:ascii="Calibri" w:eastAsia="Calibri" w:hAnsi="Calibri" w:cs="Calibri"/>
            <w:color w:val="0000FF"/>
            <w:sz w:val="22"/>
            <w:u w:val="single"/>
          </w:rPr>
          <w:t>Les om regional planlegging på nettsidene til Møre og Romsdal fylkeskommune (mrfylke.no)</w:t>
        </w:r>
      </w:hyperlink>
    </w:p>
    <w:p w14:paraId="2CBC7B7A"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Samarbeid på Nordmøre - Nordmørsstrategien</w:t>
      </w:r>
    </w:p>
    <w:p w14:paraId="55D9CC70"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Nordmørsstrategien skal være en overordnet strategi for samarbeidet mellom Nordmørskommunene gjennom Nordmøre Interkommunalt Politisk Råd (NIPR), samt nabokommunene i Romsdal. </w:t>
      </w:r>
    </w:p>
    <w:p w14:paraId="1F84CBB7"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Visjonen for det regionale samarbeidet er; Vi løfter Nordmøre – sammen! </w:t>
      </w:r>
    </w:p>
    <w:p w14:paraId="4487FBF4" w14:textId="77777777" w:rsidR="00A77B3E" w:rsidRDefault="00000000">
      <w:pPr>
        <w:numPr>
          <w:ilvl w:val="0"/>
          <w:numId w:val="3"/>
        </w:numPr>
        <w:spacing w:afterAutospacing="1"/>
        <w:rPr>
          <w:rFonts w:ascii="Calibri" w:eastAsia="Calibri" w:hAnsi="Calibri" w:cs="Calibri"/>
          <w:color w:val="000000"/>
          <w:sz w:val="22"/>
        </w:rPr>
      </w:pPr>
      <w:r>
        <w:rPr>
          <w:rFonts w:ascii="Calibri" w:eastAsia="Calibri" w:hAnsi="Calibri" w:cs="Calibri"/>
          <w:color w:val="000000"/>
          <w:sz w:val="22"/>
        </w:rPr>
        <w:t>Vi styrker felles gjennomslagskraft ved faglig og politisk samarbeid.</w:t>
      </w:r>
    </w:p>
    <w:p w14:paraId="2FD99CA1" w14:textId="77777777" w:rsidR="00A77B3E" w:rsidRDefault="00000000">
      <w:pPr>
        <w:numPr>
          <w:ilvl w:val="0"/>
          <w:numId w:val="3"/>
        </w:numPr>
        <w:spacing w:afterAutospacing="1"/>
        <w:rPr>
          <w:rFonts w:ascii="Calibri" w:eastAsia="Calibri" w:hAnsi="Calibri" w:cs="Calibri"/>
          <w:color w:val="000000"/>
          <w:sz w:val="22"/>
        </w:rPr>
      </w:pPr>
      <w:r>
        <w:rPr>
          <w:rFonts w:ascii="Calibri" w:eastAsia="Calibri" w:hAnsi="Calibri" w:cs="Calibri"/>
          <w:color w:val="000000"/>
          <w:sz w:val="22"/>
        </w:rPr>
        <w:t>Vi tar tak i det vi selv kan gjøre noe med, med tillit til hverandre.</w:t>
      </w:r>
    </w:p>
    <w:p w14:paraId="4A5A8FEC" w14:textId="77777777" w:rsidR="00A77B3E" w:rsidRDefault="00000000">
      <w:pPr>
        <w:numPr>
          <w:ilvl w:val="0"/>
          <w:numId w:val="3"/>
        </w:numPr>
        <w:spacing w:afterAutospacing="1"/>
        <w:rPr>
          <w:rFonts w:ascii="Calibri" w:eastAsia="Calibri" w:hAnsi="Calibri" w:cs="Calibri"/>
          <w:color w:val="000000"/>
          <w:sz w:val="22"/>
        </w:rPr>
      </w:pPr>
      <w:r>
        <w:rPr>
          <w:rFonts w:ascii="Calibri" w:eastAsia="Calibri" w:hAnsi="Calibri" w:cs="Calibri"/>
          <w:color w:val="000000"/>
          <w:sz w:val="22"/>
        </w:rPr>
        <w:t>Vi skal framsnakke de som lykkes og heie på de som tør. </w:t>
      </w:r>
    </w:p>
    <w:p w14:paraId="0F503CDC"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Vi tenker omdømme i alt vi gjør. </w:t>
      </w:r>
    </w:p>
    <w:p w14:paraId="143B7B86" w14:textId="77777777" w:rsidR="00A77B3E" w:rsidRDefault="00000000">
      <w:pPr>
        <w:spacing w:afterAutospacing="1"/>
        <w:rPr>
          <w:rFonts w:ascii="Calibri" w:eastAsia="Calibri" w:hAnsi="Calibri" w:cs="Calibri"/>
          <w:color w:val="000000"/>
          <w:sz w:val="22"/>
        </w:rPr>
      </w:pPr>
      <w:proofErr w:type="spellStart"/>
      <w:r>
        <w:rPr>
          <w:rFonts w:ascii="Calibri" w:eastAsia="Calibri" w:hAnsi="Calibri" w:cs="Calibri"/>
          <w:color w:val="000000"/>
          <w:sz w:val="22"/>
        </w:rPr>
        <w:t>Nordmørsløftet</w:t>
      </w:r>
      <w:proofErr w:type="spellEnd"/>
      <w:r>
        <w:rPr>
          <w:rFonts w:ascii="Calibri" w:eastAsia="Calibri" w:hAnsi="Calibri" w:cs="Calibri"/>
          <w:color w:val="000000"/>
          <w:sz w:val="22"/>
        </w:rPr>
        <w:t xml:space="preserve"> for bolyst og bostedsattraktivitet:</w:t>
      </w:r>
    </w:p>
    <w:p w14:paraId="48FE6E9D" w14:textId="77777777" w:rsidR="00A77B3E" w:rsidRDefault="00000000">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Vi skaper og utvikler gode nærmiljø og tettsteder i alle kommuner.</w:t>
      </w:r>
    </w:p>
    <w:p w14:paraId="63E659F2" w14:textId="77777777" w:rsidR="00A77B3E" w:rsidRDefault="00000000">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Vi skal ha et sterkt regionsenter i en samskapende region.</w:t>
      </w:r>
    </w:p>
    <w:p w14:paraId="17157BBF" w14:textId="77777777" w:rsidR="00A77B3E" w:rsidRDefault="00000000">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Vi ser på, og verner om, kultur og natur som verdifulle for trivsel og mangfold.</w:t>
      </w:r>
    </w:p>
    <w:p w14:paraId="2E391844" w14:textId="77777777" w:rsidR="00A77B3E" w:rsidRDefault="00000000">
      <w:pPr>
        <w:numPr>
          <w:ilvl w:val="0"/>
          <w:numId w:val="4"/>
        </w:numPr>
        <w:spacing w:afterAutospacing="1"/>
        <w:rPr>
          <w:rFonts w:ascii="Calibri" w:eastAsia="Calibri" w:hAnsi="Calibri" w:cs="Calibri"/>
          <w:color w:val="000000"/>
          <w:sz w:val="22"/>
        </w:rPr>
      </w:pPr>
      <w:r>
        <w:rPr>
          <w:rFonts w:ascii="Calibri" w:eastAsia="Calibri" w:hAnsi="Calibri" w:cs="Calibri"/>
          <w:color w:val="000000"/>
          <w:sz w:val="22"/>
        </w:rPr>
        <w:t>Vi utvikler gode tjenester der innovasjon er vår vei.</w:t>
      </w:r>
    </w:p>
    <w:p w14:paraId="5F64C649" w14:textId="77777777" w:rsidR="00A77B3E" w:rsidRDefault="00000000">
      <w:pPr>
        <w:spacing w:afterAutospacing="1"/>
        <w:rPr>
          <w:rFonts w:ascii="Calibri" w:eastAsia="Calibri" w:hAnsi="Calibri" w:cs="Calibri"/>
          <w:color w:val="000000"/>
          <w:sz w:val="22"/>
        </w:rPr>
      </w:pPr>
      <w:proofErr w:type="spellStart"/>
      <w:r>
        <w:rPr>
          <w:rFonts w:ascii="Calibri" w:eastAsia="Calibri" w:hAnsi="Calibri" w:cs="Calibri"/>
          <w:color w:val="000000"/>
          <w:sz w:val="22"/>
        </w:rPr>
        <w:t>Nordmørsløftet</w:t>
      </w:r>
      <w:proofErr w:type="spellEnd"/>
      <w:r>
        <w:rPr>
          <w:rFonts w:ascii="Calibri" w:eastAsia="Calibri" w:hAnsi="Calibri" w:cs="Calibri"/>
          <w:color w:val="000000"/>
          <w:sz w:val="22"/>
        </w:rPr>
        <w:t xml:space="preserve"> for næringsattraktivitet:</w:t>
      </w:r>
    </w:p>
    <w:p w14:paraId="3817D9B4" w14:textId="77777777" w:rsidR="00A77B3E" w:rsidRDefault="00000000">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Næringsliv og kommuner er samsnakket og koordinert.</w:t>
      </w:r>
    </w:p>
    <w:p w14:paraId="0607998C" w14:textId="77777777" w:rsidR="00A77B3E" w:rsidRDefault="00000000">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Økt kompetanse til arbeidsmarkedets behov.</w:t>
      </w:r>
    </w:p>
    <w:p w14:paraId="6C9A4A73" w14:textId="77777777" w:rsidR="00A77B3E" w:rsidRDefault="00000000">
      <w:pPr>
        <w:numPr>
          <w:ilvl w:val="0"/>
          <w:numId w:val="5"/>
        </w:numPr>
        <w:spacing w:afterAutospacing="1"/>
        <w:rPr>
          <w:rFonts w:ascii="Calibri" w:eastAsia="Calibri" w:hAnsi="Calibri" w:cs="Calibri"/>
          <w:color w:val="000000"/>
          <w:sz w:val="22"/>
        </w:rPr>
      </w:pPr>
      <w:r>
        <w:rPr>
          <w:rFonts w:ascii="Calibri" w:eastAsia="Calibri" w:hAnsi="Calibri" w:cs="Calibri"/>
          <w:color w:val="000000"/>
          <w:sz w:val="22"/>
        </w:rPr>
        <w:t>Vi bygger regionen sammen.</w:t>
      </w:r>
    </w:p>
    <w:p w14:paraId="76271FA0" w14:textId="77777777" w:rsidR="00A77B3E" w:rsidRDefault="00A77B3E">
      <w:pPr>
        <w:spacing w:afterAutospacing="1"/>
        <w:rPr>
          <w:rFonts w:ascii="Calibri" w:eastAsia="Calibri" w:hAnsi="Calibri" w:cs="Calibri"/>
          <w:color w:val="000000"/>
          <w:sz w:val="22"/>
        </w:rPr>
      </w:pPr>
      <w:hyperlink r:id="rId17" w:history="1">
        <w:r>
          <w:rPr>
            <w:rFonts w:ascii="Calibri" w:eastAsia="Calibri" w:hAnsi="Calibri" w:cs="Calibri"/>
            <w:color w:val="0000FF"/>
            <w:sz w:val="22"/>
            <w:u w:val="single"/>
          </w:rPr>
          <w:t xml:space="preserve">Les om </w:t>
        </w:r>
        <w:proofErr w:type="spellStart"/>
        <w:r>
          <w:rPr>
            <w:rFonts w:ascii="Calibri" w:eastAsia="Calibri" w:hAnsi="Calibri" w:cs="Calibri"/>
            <w:color w:val="0000FF"/>
            <w:sz w:val="22"/>
            <w:u w:val="single"/>
          </w:rPr>
          <w:t>nordmørsstrategien</w:t>
        </w:r>
        <w:proofErr w:type="spellEnd"/>
        <w:r>
          <w:rPr>
            <w:rFonts w:ascii="Calibri" w:eastAsia="Calibri" w:hAnsi="Calibri" w:cs="Calibri"/>
            <w:color w:val="0000FF"/>
            <w:sz w:val="22"/>
            <w:u w:val="single"/>
          </w:rPr>
          <w:t xml:space="preserve"> på nettsidene til Nordmøre IPR (nipr.no)</w:t>
        </w:r>
      </w:hyperlink>
    </w:p>
    <w:p w14:paraId="3B025F7D"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Utfordringsbildet Gjemnes og Nordmøre</w:t>
      </w:r>
    </w:p>
    <w:p w14:paraId="651617B9"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Utfordringsbildet for Gjemnes og Nordmøre kan du lese i planstrategien til Gjemnes kommune. </w:t>
      </w:r>
    </w:p>
    <w:p w14:paraId="1B9901D4" w14:textId="77777777" w:rsidR="00A77B3E" w:rsidRDefault="00A77B3E">
      <w:pPr>
        <w:spacing w:afterAutospacing="1"/>
        <w:rPr>
          <w:rFonts w:ascii="Calibri" w:eastAsia="Calibri" w:hAnsi="Calibri" w:cs="Calibri"/>
          <w:color w:val="000000"/>
          <w:sz w:val="22"/>
        </w:rPr>
      </w:pPr>
      <w:hyperlink r:id="rId18" w:history="1">
        <w:r>
          <w:rPr>
            <w:rFonts w:ascii="Calibri" w:eastAsia="Calibri" w:hAnsi="Calibri" w:cs="Calibri"/>
            <w:color w:val="0000FF"/>
            <w:sz w:val="22"/>
            <w:u w:val="single"/>
          </w:rPr>
          <w:t>Les om utfordringsbildet for Nordmøre og Gjemnes på kommunens nettside (gjemnes.kommune.no)</w:t>
        </w:r>
      </w:hyperlink>
    </w:p>
    <w:p w14:paraId="57E7F1E3"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lastRenderedPageBreak/>
        <w:t xml:space="preserve">Folkehelseoversikten </w:t>
      </w:r>
      <w:r>
        <w:rPr>
          <w:rFonts w:ascii="Calibri" w:eastAsia="Calibri" w:hAnsi="Calibri" w:cs="Calibri"/>
          <w:color w:val="000000"/>
          <w:sz w:val="22"/>
        </w:rPr>
        <w:t>er lovpålagt og skal si noe om innbyggernes helsetilstand, sentrale utviklingstrekk og synliggjøre lokale utfordringer og muligheter i kommunen. Oversikten ligger til grunn for det langsiktige folkehelsearbeidet, og er et grunnlag for kommunalt planarbeid samt for iverksettelse av konkrete tiltak.</w:t>
      </w:r>
    </w:p>
    <w:p w14:paraId="7837836D" w14:textId="77777777" w:rsidR="00A77B3E" w:rsidRDefault="00A77B3E">
      <w:pPr>
        <w:spacing w:afterAutospacing="1"/>
        <w:rPr>
          <w:rFonts w:ascii="Calibri" w:eastAsia="Calibri" w:hAnsi="Calibri" w:cs="Calibri"/>
          <w:color w:val="000000"/>
          <w:sz w:val="22"/>
        </w:rPr>
      </w:pPr>
      <w:hyperlink r:id="rId19" w:history="1">
        <w:r>
          <w:rPr>
            <w:rFonts w:ascii="Calibri" w:eastAsia="Calibri" w:hAnsi="Calibri" w:cs="Calibri"/>
            <w:color w:val="0000FF"/>
            <w:sz w:val="22"/>
            <w:u w:val="single"/>
          </w:rPr>
          <w:t>Les folkehelseoversikten på kommunens nettside (gjemnes.kommune.no)</w:t>
        </w:r>
      </w:hyperlink>
    </w:p>
    <w:p w14:paraId="04B9F75E" w14:textId="77777777" w:rsidR="00A77B3E" w:rsidRDefault="00000000">
      <w:pPr>
        <w:spacing w:afterAutospacing="1"/>
        <w:rPr>
          <w:rFonts w:ascii="Calibri" w:eastAsia="Calibri" w:hAnsi="Calibri" w:cs="Calibri"/>
          <w:color w:val="000000"/>
          <w:sz w:val="22"/>
        </w:rPr>
      </w:pPr>
      <w:r>
        <w:rPr>
          <w:rFonts w:ascii="Calibri" w:eastAsia="Calibri" w:hAnsi="Calibri" w:cs="Calibri"/>
          <w:b/>
          <w:bCs/>
          <w:color w:val="000000"/>
          <w:sz w:val="22"/>
        </w:rPr>
        <w:t xml:space="preserve">Ungdata </w:t>
      </w:r>
      <w:r>
        <w:rPr>
          <w:rFonts w:ascii="Calibri" w:eastAsia="Calibri" w:hAnsi="Calibri" w:cs="Calibri"/>
          <w:color w:val="000000"/>
          <w:sz w:val="22"/>
        </w:rPr>
        <w:t>er en barne- og ungdomsundersøkelse der skoleelever over hele landet svarer på spørsmål om hvordan de har det, og hva de driver med på fritiden. </w:t>
      </w:r>
    </w:p>
    <w:p w14:paraId="6D5393E8" w14:textId="77777777" w:rsidR="00A77B3E" w:rsidRDefault="00A77B3E">
      <w:pPr>
        <w:spacing w:afterAutospacing="1"/>
        <w:rPr>
          <w:rFonts w:ascii="Calibri" w:eastAsia="Calibri" w:hAnsi="Calibri" w:cs="Calibri"/>
          <w:color w:val="000000"/>
          <w:sz w:val="22"/>
        </w:rPr>
      </w:pPr>
      <w:hyperlink r:id="rId20" w:history="1">
        <w:r>
          <w:rPr>
            <w:rFonts w:ascii="Calibri" w:eastAsia="Calibri" w:hAnsi="Calibri" w:cs="Calibri"/>
            <w:color w:val="0000FF"/>
            <w:sz w:val="22"/>
            <w:u w:val="single"/>
          </w:rPr>
          <w:t>Les om undersøkelsen på nettsiden til Ungdata (ungdata.no).</w:t>
        </w:r>
      </w:hyperlink>
    </w:p>
    <w:p w14:paraId="3A5E256A" w14:textId="77777777" w:rsidR="00A77B3E" w:rsidRDefault="00000000">
      <w:pPr>
        <w:pStyle w:val="Overskrift2"/>
        <w:rPr>
          <w:rFonts w:ascii="Calibri" w:eastAsia="Calibri" w:hAnsi="Calibri" w:cs="Calibri"/>
          <w:i w:val="0"/>
          <w:color w:val="0070C0"/>
          <w:sz w:val="26"/>
        </w:rPr>
      </w:pPr>
      <w:bookmarkStart w:id="3" w:name="_Toc201141444"/>
      <w:r>
        <w:rPr>
          <w:rFonts w:ascii="Calibri" w:eastAsia="Calibri" w:hAnsi="Calibri" w:cs="Calibri"/>
          <w:i w:val="0"/>
          <w:color w:val="0070C0"/>
          <w:sz w:val="26"/>
        </w:rPr>
        <w:t>Utfordringer og satsinger</w:t>
      </w:r>
      <w:bookmarkEnd w:id="3"/>
    </w:p>
    <w:p w14:paraId="48CE3058" w14:textId="77777777" w:rsidR="00A77B3E" w:rsidRDefault="00A77B3E">
      <w:pPr>
        <w:rPr>
          <w:rFonts w:ascii="Calibri" w:eastAsia="Calibri" w:hAnsi="Calibri" w:cs="Calibri"/>
          <w:color w:val="000000"/>
          <w:sz w:val="22"/>
        </w:rPr>
      </w:pPr>
    </w:p>
    <w:p w14:paraId="29217BD5"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Gjemnes kommune står overfor utfordringer som aldrende befolkning, urbanisering og klimaendringer, men har samtidig gode muligheter for vekst og utvikling. Med dette som bakgrunn legger samfunnsdelen opp til mål og strategier som vil lede kommunen mot en bærekraftig fremtid. Den skal være et verktøy for både politisk styring og administrativ gjennomføring.</w:t>
      </w:r>
    </w:p>
    <w:tbl>
      <w:tblPr>
        <w:tblStyle w:val="image"/>
        <w:tblW w:w="0" w:type="auto"/>
        <w:jc w:val="center"/>
        <w:tblCellSpacing w:w="15" w:type="dxa"/>
        <w:tblCellMar>
          <w:top w:w="15" w:type="dxa"/>
          <w:left w:w="15" w:type="dxa"/>
          <w:bottom w:w="15" w:type="dxa"/>
          <w:right w:w="15" w:type="dxa"/>
        </w:tblCellMar>
        <w:tblLook w:val="05E0" w:firstRow="1" w:lastRow="1" w:firstColumn="1" w:lastColumn="1" w:noHBand="0" w:noVBand="1"/>
      </w:tblPr>
      <w:tblGrid>
        <w:gridCol w:w="9090"/>
      </w:tblGrid>
      <w:tr w:rsidR="00F8153A" w14:paraId="65E92E72" w14:textId="77777777">
        <w:trPr>
          <w:tblCellSpacing w:w="15" w:type="dxa"/>
          <w:jc w:val="center"/>
        </w:trPr>
        <w:tc>
          <w:tcPr>
            <w:tcW w:w="0" w:type="auto"/>
            <w:tcMar>
              <w:top w:w="15" w:type="dxa"/>
              <w:left w:w="15" w:type="dxa"/>
              <w:bottom w:w="15" w:type="dxa"/>
              <w:right w:w="15" w:type="dxa"/>
            </w:tcMar>
            <w:vAlign w:val="center"/>
            <w:hideMark/>
          </w:tcPr>
          <w:p w14:paraId="04986862" w14:textId="77777777" w:rsidR="00A77B3E" w:rsidRDefault="00000000">
            <w:pPr>
              <w:spacing w:afterAutospacing="1"/>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57FEAB32" wp14:editId="5FFA7BCC">
                  <wp:extent cx="5715000" cy="2571750"/>
                  <wp:effectExtent l="0" t="0" r="0" b="0"/>
                  <wp:docPr id="100005" name="Bild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1"/>
                          <a:stretch>
                            <a:fillRect/>
                          </a:stretch>
                        </pic:blipFill>
                        <pic:spPr>
                          <a:xfrm>
                            <a:off x="0" y="0"/>
                            <a:ext cx="5715000" cy="2571750"/>
                          </a:xfrm>
                          <a:prstGeom prst="rect">
                            <a:avLst/>
                          </a:prstGeom>
                        </pic:spPr>
                      </pic:pic>
                    </a:graphicData>
                  </a:graphic>
                </wp:inline>
              </w:drawing>
            </w:r>
          </w:p>
        </w:tc>
      </w:tr>
    </w:tbl>
    <w:p w14:paraId="3DA7CA1E"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 </w:t>
      </w:r>
    </w:p>
    <w:p w14:paraId="6901C0A8" w14:textId="05134B4A" w:rsidR="00A77B3E" w:rsidRDefault="00931F7F">
      <w:pPr>
        <w:pStyle w:val="Overskrift1"/>
        <w:rPr>
          <w:rFonts w:ascii="Calibri" w:eastAsia="Calibri" w:hAnsi="Calibri" w:cs="Calibri"/>
          <w:color w:val="374C80"/>
        </w:rPr>
      </w:pPr>
      <w:r>
        <w:rPr>
          <w:rFonts w:ascii="Calibri" w:eastAsia="Calibri" w:hAnsi="Calibri" w:cs="Calibri"/>
          <w:color w:val="374C80"/>
        </w:rPr>
        <w:br w:type="page"/>
      </w:r>
      <w:bookmarkStart w:id="4" w:name="_Toc201141445"/>
      <w:r w:rsidR="00000000">
        <w:rPr>
          <w:rFonts w:ascii="Calibri" w:eastAsia="Calibri" w:hAnsi="Calibri" w:cs="Calibri"/>
          <w:color w:val="374C80"/>
        </w:rPr>
        <w:lastRenderedPageBreak/>
        <w:t>Mål og strategier</w:t>
      </w:r>
      <w:bookmarkEnd w:id="4"/>
    </w:p>
    <w:p w14:paraId="0348CC1F" w14:textId="77777777" w:rsidR="00A77B3E" w:rsidRDefault="00A77B3E">
      <w:pPr>
        <w:rPr>
          <w:rFonts w:ascii="Calibri" w:eastAsia="Calibri" w:hAnsi="Calibri" w:cs="Calibri"/>
          <w:color w:val="000000"/>
          <w:sz w:val="22"/>
        </w:rPr>
      </w:pPr>
    </w:p>
    <w:p w14:paraId="1ACB61A2"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Kommuneplanens samfunnsdel fastsetter kommunens overordnede mål og strategier. Disse er førende for kommende plan- og budsjettarbeid, der det fastsettes delmål og tiltak som skal gjennomføres. Resultater og effekter av kommunens innsats rapporteres og vurderes i tertial- og årsrapporter. </w:t>
      </w:r>
    </w:p>
    <w:tbl>
      <w:tblPr>
        <w:tblStyle w:val="image"/>
        <w:tblW w:w="0" w:type="auto"/>
        <w:jc w:val="center"/>
        <w:tblCellSpacing w:w="15" w:type="dxa"/>
        <w:tblCellMar>
          <w:top w:w="15" w:type="dxa"/>
          <w:left w:w="15" w:type="dxa"/>
          <w:bottom w:w="15" w:type="dxa"/>
          <w:right w:w="15" w:type="dxa"/>
        </w:tblCellMar>
        <w:tblLook w:val="05E0" w:firstRow="1" w:lastRow="1" w:firstColumn="1" w:lastColumn="1" w:noHBand="0" w:noVBand="1"/>
      </w:tblPr>
      <w:tblGrid>
        <w:gridCol w:w="9090"/>
      </w:tblGrid>
      <w:tr w:rsidR="00F8153A" w14:paraId="1D8FBFE3" w14:textId="77777777">
        <w:trPr>
          <w:tblCellSpacing w:w="15" w:type="dxa"/>
          <w:jc w:val="center"/>
        </w:trPr>
        <w:tc>
          <w:tcPr>
            <w:tcW w:w="0" w:type="auto"/>
            <w:tcMar>
              <w:top w:w="15" w:type="dxa"/>
              <w:left w:w="15" w:type="dxa"/>
              <w:bottom w:w="15" w:type="dxa"/>
              <w:right w:w="15" w:type="dxa"/>
            </w:tcMar>
            <w:vAlign w:val="center"/>
            <w:hideMark/>
          </w:tcPr>
          <w:p w14:paraId="06A25B28" w14:textId="77777777" w:rsidR="00A77B3E" w:rsidRDefault="00000000">
            <w:pPr>
              <w:spacing w:afterAutospacing="1"/>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276C2AC3" wp14:editId="7BB132A8">
                  <wp:extent cx="5715000" cy="1943100"/>
                  <wp:effectExtent l="0" t="0" r="0" b="0"/>
                  <wp:docPr id="100007" name="Bild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2"/>
                          <a:stretch>
                            <a:fillRect/>
                          </a:stretch>
                        </pic:blipFill>
                        <pic:spPr>
                          <a:xfrm>
                            <a:off x="0" y="0"/>
                            <a:ext cx="5715000" cy="1943100"/>
                          </a:xfrm>
                          <a:prstGeom prst="rect">
                            <a:avLst/>
                          </a:prstGeom>
                        </pic:spPr>
                      </pic:pic>
                    </a:graphicData>
                  </a:graphic>
                </wp:inline>
              </w:drawing>
            </w:r>
          </w:p>
        </w:tc>
      </w:tr>
    </w:tbl>
    <w:p w14:paraId="2EC11D57" w14:textId="77777777" w:rsidR="00A77B3E" w:rsidRDefault="00000000">
      <w:pPr>
        <w:spacing w:afterAutospacing="1"/>
        <w:rPr>
          <w:rFonts w:ascii="Calibri" w:eastAsia="Calibri" w:hAnsi="Calibri" w:cs="Calibri"/>
          <w:color w:val="000000"/>
          <w:sz w:val="22"/>
        </w:rPr>
      </w:pPr>
      <w:r>
        <w:rPr>
          <w:rFonts w:ascii="Calibri" w:eastAsia="Calibri" w:hAnsi="Calibri" w:cs="Calibri"/>
          <w:i/>
          <w:iCs/>
          <w:color w:val="000000"/>
          <w:sz w:val="22"/>
        </w:rPr>
        <w:t>(Illustrasjon: Framsikt)</w:t>
      </w:r>
    </w:p>
    <w:p w14:paraId="072C10CD" w14:textId="7C7A0C69"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Hovedmålene under skal dekke de store ansvarsområdene og mulighetsrommene Gjemnes kommune skal dekke. </w:t>
      </w:r>
      <w:r w:rsidR="00803242">
        <w:rPr>
          <w:rFonts w:ascii="Calibri" w:eastAsia="Calibri" w:hAnsi="Calibri" w:cs="Calibri"/>
          <w:color w:val="000000"/>
          <w:sz w:val="22"/>
        </w:rPr>
        <w:t xml:space="preserve"> </w:t>
      </w:r>
      <w:r w:rsidR="00CC5005">
        <w:rPr>
          <w:rFonts w:ascii="Calibri" w:eastAsia="Calibri" w:hAnsi="Calibri" w:cs="Calibri"/>
          <w:noProof/>
          <w:color w:val="000000"/>
          <w:sz w:val="22"/>
        </w:rPr>
        <w:drawing>
          <wp:anchor distT="0" distB="0" distL="114300" distR="114300" simplePos="0" relativeHeight="251659776" behindDoc="0" locked="0" layoutInCell="1" allowOverlap="0" wp14:anchorId="57F16398" wp14:editId="2C19833A">
            <wp:simplePos x="0" y="0"/>
            <wp:positionH relativeFrom="column">
              <wp:align>right</wp:align>
            </wp:positionH>
            <wp:positionV relativeFrom="line">
              <wp:posOffset>0</wp:posOffset>
            </wp:positionV>
            <wp:extent cx="2286000" cy="2295525"/>
            <wp:effectExtent l="0" t="0" r="0" b="0"/>
            <wp:wrapSquare wrapText="bothSides"/>
            <wp:docPr id="100009" name="Bild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3"/>
                    <a:stretch>
                      <a:fillRect/>
                    </a:stretch>
                  </pic:blipFill>
                  <pic:spPr>
                    <a:xfrm>
                      <a:off x="0" y="0"/>
                      <a:ext cx="2286279" cy="2295805"/>
                    </a:xfrm>
                    <a:prstGeom prst="rect">
                      <a:avLst/>
                    </a:prstGeom>
                  </pic:spPr>
                </pic:pic>
              </a:graphicData>
            </a:graphic>
            <wp14:sizeRelV relativeFrom="margin">
              <wp14:pctHeight>0</wp14:pctHeight>
            </wp14:sizeRelV>
          </wp:anchor>
        </w:drawing>
      </w:r>
      <w:r>
        <w:rPr>
          <w:rFonts w:ascii="Calibri" w:eastAsia="Calibri" w:hAnsi="Calibri" w:cs="Calibri"/>
          <w:color w:val="000000"/>
          <w:sz w:val="22"/>
        </w:rPr>
        <w:t xml:space="preserve">I dette ligger en balansering av ulike, av og til motstridende, hensyn. </w:t>
      </w:r>
    </w:p>
    <w:p w14:paraId="408D3043"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Men først når hensynet til naturgrunnlaget (som vann og mat) ivaretas, samtidig som menneskenes sosiale behov blir dekt, og kommunens økonomiske ressurser håndteres klokt, har vi grunnlag for en bærekraftig  samfunnsutvikling. </w:t>
      </w:r>
    </w:p>
    <w:p w14:paraId="03813F21"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Sammenhengene kan illustreres som figuren til høyre. </w:t>
      </w:r>
    </w:p>
    <w:p w14:paraId="3A8D5FB7"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Til hvert hovedmål er det knyttet ett eller flere av FNs bærekraftsmål, og strategier for hvordan kommunen skal jobbe for å nå de overordnede målene.</w:t>
      </w:r>
    </w:p>
    <w:p w14:paraId="5C9DC785"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I kommende temaplaner, som for eksempel for helse og for oppvekst, og ikke minst i årlige handlings- og økonomiplaner, skal det fastsettes delmål og tiltak for gjennomføring. </w:t>
      </w:r>
    </w:p>
    <w:p w14:paraId="2BFC2391" w14:textId="503C090F" w:rsidR="00A77B3E" w:rsidRDefault="00931F7F">
      <w:pPr>
        <w:pStyle w:val="Overskrift2"/>
        <w:rPr>
          <w:rFonts w:ascii="Calibri" w:eastAsia="Calibri" w:hAnsi="Calibri" w:cs="Calibri"/>
          <w:i w:val="0"/>
          <w:color w:val="0070C0"/>
          <w:sz w:val="26"/>
        </w:rPr>
      </w:pPr>
      <w:r>
        <w:rPr>
          <w:rFonts w:ascii="Calibri" w:eastAsia="Calibri" w:hAnsi="Calibri" w:cs="Calibri"/>
          <w:i w:val="0"/>
          <w:color w:val="0070C0"/>
          <w:sz w:val="26"/>
        </w:rPr>
        <w:br w:type="page"/>
      </w:r>
      <w:bookmarkStart w:id="5" w:name="_Toc201141446"/>
      <w:r w:rsidR="00000000">
        <w:rPr>
          <w:rFonts w:ascii="Calibri" w:eastAsia="Calibri" w:hAnsi="Calibri" w:cs="Calibri"/>
          <w:i w:val="0"/>
          <w:color w:val="0070C0"/>
          <w:sz w:val="26"/>
        </w:rPr>
        <w:lastRenderedPageBreak/>
        <w:t>Hovedmål</w:t>
      </w:r>
      <w:bookmarkEnd w:id="5"/>
    </w:p>
    <w:tbl>
      <w:tblPr>
        <w:tblStyle w:val="Rutenettabell1lys"/>
        <w:tblW w:w="4500" w:type="pct"/>
        <w:tblLook w:val="04A0" w:firstRow="1" w:lastRow="0" w:firstColumn="1" w:lastColumn="0" w:noHBand="0" w:noVBand="1"/>
      </w:tblPr>
      <w:tblGrid>
        <w:gridCol w:w="4241"/>
        <w:gridCol w:w="4242"/>
      </w:tblGrid>
      <w:tr w:rsidR="00F8153A" w14:paraId="596D5F2A" w14:textId="77777777" w:rsidTr="00F815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61F8B555" w14:textId="77777777" w:rsidR="00A77B3E" w:rsidRDefault="00000000">
            <w:pPr>
              <w:rPr>
                <w:rFonts w:ascii="Calibri" w:eastAsia="Calibri" w:hAnsi="Calibri" w:cs="Calibri"/>
                <w:b w:val="0"/>
                <w:color w:val="4F81BD"/>
                <w:sz w:val="20"/>
              </w:rPr>
            </w:pPr>
            <w:r>
              <w:rPr>
                <w:rFonts w:ascii="Calibri" w:eastAsia="Calibri" w:hAnsi="Calibri" w:cs="Calibri"/>
                <w:color w:val="4F81BD"/>
                <w:sz w:val="20"/>
              </w:rPr>
              <w:t>Hovedmål</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1D5177CB" w14:textId="77777777" w:rsidR="00A77B3E"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4F81BD"/>
                <w:sz w:val="20"/>
              </w:rPr>
            </w:pPr>
            <w:r>
              <w:rPr>
                <w:rFonts w:ascii="Calibri" w:eastAsia="Calibri" w:hAnsi="Calibri" w:cs="Calibri"/>
                <w:color w:val="4F81BD"/>
                <w:sz w:val="20"/>
              </w:rPr>
              <w:t>FN bærekraftsmål</w:t>
            </w:r>
          </w:p>
        </w:tc>
      </w:tr>
      <w:tr w:rsidR="00F8153A" w14:paraId="66743418"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53E8C5D8"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 xml:space="preserve">Gjemnes kommune skal beskytte naturen og miljøet, samt redusere naturtap og klimagassutslipp, i tråd med nasjonale mål.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23FAC56A"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02 - Utrydde sult, oppnå matsikkerhet og bedre ernæring, og fremme bærekraftig landbruk </w:t>
            </w:r>
            <w:r>
              <w:rPr>
                <w:rFonts w:ascii="Calibri" w:eastAsia="Calibri" w:hAnsi="Calibri" w:cs="Calibri"/>
                <w:color w:val="000000"/>
                <w:sz w:val="18"/>
              </w:rPr>
              <w:br/>
              <w:t>13 - Handle umiddelbart for å bekjempe klimaendringene og konsekvensene av dem</w:t>
            </w:r>
            <w:r>
              <w:rPr>
                <w:rFonts w:ascii="Calibri" w:eastAsia="Calibri" w:hAnsi="Calibri" w:cs="Calibri"/>
                <w:color w:val="000000"/>
                <w:sz w:val="18"/>
              </w:rPr>
              <w:br/>
              <w:t>15 - Beskytte, gjenopprette og fremme bærekraftig bruk av økosystemer, sikre bærekraftig skogforvaltning, bekjempe ørkenspredning, stanse og reversere landforringelse samt stanse tap av artsmangfold</w:t>
            </w:r>
          </w:p>
        </w:tc>
      </w:tr>
      <w:tr w:rsidR="00F8153A" w14:paraId="47C5B202"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12FF6C97"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Gjemnes kommunes tjenester skal fremme folkehelse og motvirke utenforskap</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6BF59799"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01 - Utrydde alle former for fattigdom i hele verden</w:t>
            </w:r>
            <w:r>
              <w:rPr>
                <w:rFonts w:ascii="Calibri" w:eastAsia="Calibri" w:hAnsi="Calibri" w:cs="Calibri"/>
                <w:color w:val="000000"/>
                <w:sz w:val="18"/>
              </w:rPr>
              <w:br/>
              <w:t>03 - Sikre god helse og fremme livskvalitet for alle, uansett alder    </w:t>
            </w:r>
            <w:r>
              <w:rPr>
                <w:rFonts w:ascii="Calibri" w:eastAsia="Calibri" w:hAnsi="Calibri" w:cs="Calibri"/>
                <w:color w:val="000000"/>
                <w:sz w:val="18"/>
              </w:rPr>
              <w:br/>
              <w:t>04 - Sikre inkluderende, rettferdig og god utdanning og fremme muligheter for livslang læring for alle</w:t>
            </w:r>
            <w:r>
              <w:rPr>
                <w:rFonts w:ascii="Calibri" w:eastAsia="Calibri" w:hAnsi="Calibri" w:cs="Calibri"/>
                <w:color w:val="000000"/>
                <w:sz w:val="18"/>
              </w:rPr>
              <w:br/>
              <w:t>05 - Oppnå likestilling og styrke jenters og kvinners stilling i samfunnet</w:t>
            </w:r>
            <w:r>
              <w:rPr>
                <w:rFonts w:ascii="Calibri" w:eastAsia="Calibri" w:hAnsi="Calibri" w:cs="Calibri"/>
                <w:color w:val="000000"/>
                <w:sz w:val="18"/>
              </w:rPr>
              <w:br/>
              <w:t>10 - Redusere ulikhet i og mellom land</w:t>
            </w:r>
          </w:p>
        </w:tc>
      </w:tr>
      <w:tr w:rsidR="00F8153A" w14:paraId="2F395BC7"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064AC016"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Gjemnes kommune skal være den foretrukne kommunen å bo og leve i.</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7CB7B8CC"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 Gjøre byer og lokalsamfunn inkluderende, trygge, robuste og bærekraftige</w:t>
            </w:r>
          </w:p>
        </w:tc>
      </w:tr>
      <w:tr w:rsidR="00F8153A" w14:paraId="6BBC71B7"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4682A9E6"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Gjemnes kommune skal være en attraktiv samarbeidspartner for næringsliv, frivillighet og nabokommuner</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1DBCB6C5"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09 - Bygge solid infrastruktur og fremme inkluderende og bærekraftig industrialisering og innovasjon</w:t>
            </w:r>
            <w:r>
              <w:rPr>
                <w:rFonts w:ascii="Calibri" w:eastAsia="Calibri" w:hAnsi="Calibri" w:cs="Calibri"/>
                <w:color w:val="000000"/>
                <w:sz w:val="18"/>
              </w:rPr>
              <w:br/>
              <w:t>17 - Styrke virkemidlene som trengs for å gjennomføre arbeidet, og fornye globale partnerskap for bærekraftig utvikling</w:t>
            </w:r>
          </w:p>
        </w:tc>
      </w:tr>
      <w:tr w:rsidR="00F8153A" w14:paraId="6D11CEBD"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376364A1"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 xml:space="preserve">Gjemnes kommune skal være en trygg kommune å bo og oppholde seg i </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7B1844BC"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11 - Gjøre byer og lokalsamfunn inkluderende, trygge, robuste og bærekraftige</w:t>
            </w:r>
            <w:r>
              <w:rPr>
                <w:rFonts w:ascii="Calibri" w:eastAsia="Calibri" w:hAnsi="Calibri" w:cs="Calibri"/>
                <w:color w:val="000000"/>
                <w:sz w:val="18"/>
              </w:rPr>
              <w:br/>
              <w:t>13 - Handle umiddelbart for å bekjempe klimaendringene og konsekvensene av dem</w:t>
            </w:r>
          </w:p>
        </w:tc>
      </w:tr>
      <w:tr w:rsidR="00F8153A" w14:paraId="475411B2"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5F351EF8"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Gjemnes kommune skal være en foretrukken arbeidsgiver med medarbeidere som skaper gode resultater til beste for innbyggerne</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13F2091B"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08 - Fremme varig, inkluderende og bærekraftig økonomisk vekst, full sysselsetting og anstendig arbeid for alle</w:t>
            </w:r>
          </w:p>
        </w:tc>
      </w:tr>
      <w:tr w:rsidR="00F8153A" w14:paraId="20B16D53" w14:textId="77777777" w:rsidTr="00803242">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7F37BF0A" w14:textId="77777777" w:rsidR="00A77B3E" w:rsidRDefault="00000000">
            <w:pPr>
              <w:rPr>
                <w:rFonts w:ascii="Calibri" w:eastAsia="Calibri" w:hAnsi="Calibri" w:cs="Calibri"/>
                <w:color w:val="000000"/>
                <w:sz w:val="18"/>
              </w:rPr>
            </w:pPr>
            <w:r>
              <w:rPr>
                <w:rFonts w:ascii="Calibri" w:eastAsia="Calibri" w:hAnsi="Calibri" w:cs="Calibri"/>
                <w:b w:val="0"/>
                <w:color w:val="000000"/>
                <w:sz w:val="18"/>
              </w:rPr>
              <w:t>Gjemnes kommune skal ha en bærekraftig kommuneøkonomi med handlingsrom for utvikling</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left w:w="0" w:type="dxa"/>
              <w:right w:w="60" w:type="dxa"/>
            </w:tcMar>
          </w:tcPr>
          <w:p w14:paraId="18A8D99F" w14:textId="77777777" w:rsidR="00A77B3E"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rPr>
            </w:pPr>
            <w:r>
              <w:rPr>
                <w:rFonts w:ascii="Calibri" w:eastAsia="Calibri" w:hAnsi="Calibri" w:cs="Calibri"/>
                <w:color w:val="000000"/>
                <w:sz w:val="18"/>
              </w:rPr>
              <w:t>08 - Fremme varig, inkluderende og bærekraftig økonomisk vekst, full sysselsetting og anstendig arbeid for alle</w:t>
            </w:r>
          </w:p>
        </w:tc>
      </w:tr>
    </w:tbl>
    <w:p w14:paraId="51BBC458" w14:textId="77777777" w:rsidR="00A77B3E" w:rsidRDefault="00A77B3E">
      <w:pPr>
        <w:rPr>
          <w:rFonts w:ascii="Calibri" w:eastAsia="Calibri" w:hAnsi="Calibri" w:cs="Calibri"/>
          <w:color w:val="000000"/>
          <w:sz w:val="22"/>
        </w:rPr>
      </w:pPr>
    </w:p>
    <w:p w14:paraId="2B6850D7" w14:textId="2A34609D" w:rsidR="00A77B3E" w:rsidRPr="00EE475F" w:rsidRDefault="00931F7F">
      <w:pPr>
        <w:pStyle w:val="Overskrift2"/>
        <w:spacing w:before="0" w:after="0"/>
        <w:rPr>
          <w:rFonts w:ascii="Calibri" w:eastAsia="Calibri" w:hAnsi="Calibri" w:cs="Calibri"/>
          <w:i w:val="0"/>
          <w:color w:val="0070C0"/>
          <w:sz w:val="26"/>
          <w:lang w:val="en-GB"/>
        </w:rPr>
      </w:pPr>
      <w:r>
        <w:rPr>
          <w:rFonts w:ascii="Calibri" w:eastAsia="Calibri" w:hAnsi="Calibri" w:cs="Calibri"/>
          <w:i w:val="0"/>
          <w:color w:val="0070C0"/>
          <w:sz w:val="26"/>
          <w:lang w:val="en-GB"/>
        </w:rPr>
        <w:br w:type="page"/>
      </w:r>
      <w:bookmarkStart w:id="6" w:name="_Toc201141447"/>
      <w:proofErr w:type="spellStart"/>
      <w:r w:rsidR="00000000" w:rsidRPr="00EE475F">
        <w:rPr>
          <w:rFonts w:ascii="Calibri" w:eastAsia="Calibri" w:hAnsi="Calibri" w:cs="Calibri"/>
          <w:i w:val="0"/>
          <w:color w:val="0070C0"/>
          <w:sz w:val="26"/>
          <w:lang w:val="en-GB"/>
        </w:rPr>
        <w:lastRenderedPageBreak/>
        <w:t>Strategier</w:t>
      </w:r>
      <w:bookmarkEnd w:id="6"/>
      <w:proofErr w:type="spellEnd"/>
    </w:p>
    <w:tbl>
      <w:tblPr>
        <w:tblStyle w:val="Rutenettabelllys"/>
        <w:tblW w:w="0" w:type="auto"/>
        <w:tblCellMar>
          <w:top w:w="113" w:type="dxa"/>
          <w:bottom w:w="113" w:type="dxa"/>
        </w:tblCellMar>
        <w:tblLook w:val="04A0" w:firstRow="1" w:lastRow="0" w:firstColumn="1" w:lastColumn="0" w:noHBand="0" w:noVBand="1"/>
      </w:tblPr>
      <w:tblGrid>
        <w:gridCol w:w="3369"/>
        <w:gridCol w:w="6202"/>
      </w:tblGrid>
      <w:tr w:rsidR="00132B23" w:rsidRPr="00852EAE" w14:paraId="4E216997" w14:textId="77777777" w:rsidTr="007426BB">
        <w:tc>
          <w:tcPr>
            <w:tcW w:w="3369" w:type="dxa"/>
          </w:tcPr>
          <w:p w14:paraId="540C964E"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Hovedmål</w:t>
            </w:r>
          </w:p>
        </w:tc>
        <w:tc>
          <w:tcPr>
            <w:tcW w:w="6202" w:type="dxa"/>
          </w:tcPr>
          <w:p w14:paraId="01EF2314" w14:textId="77777777" w:rsidR="00132B23" w:rsidRPr="00852EAE" w:rsidRDefault="00132B23" w:rsidP="007426BB">
            <w:pPr>
              <w:spacing w:after="160" w:line="278" w:lineRule="auto"/>
              <w:rPr>
                <w:rFonts w:asciiTheme="minorHAnsi" w:hAnsiTheme="minorHAnsi" w:cstheme="minorHAnsi"/>
                <w:b/>
                <w:bCs/>
                <w:sz w:val="18"/>
                <w:szCs w:val="18"/>
              </w:rPr>
            </w:pPr>
            <w:r w:rsidRPr="00852EAE">
              <w:rPr>
                <w:rFonts w:asciiTheme="minorHAnsi" w:hAnsiTheme="minorHAnsi" w:cstheme="minorHAnsi"/>
                <w:b/>
                <w:bCs/>
                <w:sz w:val="18"/>
                <w:szCs w:val="18"/>
              </w:rPr>
              <w:t>Hvordan kommer vi oss dit vi vil (strategier)?</w:t>
            </w:r>
          </w:p>
        </w:tc>
      </w:tr>
      <w:tr w:rsidR="00132B23" w:rsidRPr="00852EAE" w14:paraId="2916ED09" w14:textId="77777777" w:rsidTr="007426BB">
        <w:trPr>
          <w:trHeight w:val="567"/>
        </w:trPr>
        <w:tc>
          <w:tcPr>
            <w:tcW w:w="3369" w:type="dxa"/>
          </w:tcPr>
          <w:p w14:paraId="72DCAFF4"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 xml:space="preserve">Gjemnes kommune skal beskytte naturen og miljøet, samt redusere naturtap og klimagassutslipp, i tråd med nasjonale mål. </w:t>
            </w:r>
          </w:p>
        </w:tc>
        <w:tc>
          <w:tcPr>
            <w:tcW w:w="6202" w:type="dxa"/>
          </w:tcPr>
          <w:p w14:paraId="17571C47"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Miljøkommunen</w:t>
            </w:r>
          </w:p>
          <w:p w14:paraId="03E4945B"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Få oversikt over verdifull natur</w:t>
            </w:r>
          </w:p>
          <w:p w14:paraId="731C2240"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Saksbehandlingsrutiner for bærekraftig plan- og byggesaksbehandling</w:t>
            </w:r>
          </w:p>
          <w:p w14:paraId="195ADE20"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Kartlegge og redusere kommunens klimagassutslipp</w:t>
            </w:r>
          </w:p>
          <w:p w14:paraId="4E082241"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Samarbeid med innbyggere og næringsliv om kunnskap og tiltak for bærekraftig utvikling</w:t>
            </w:r>
          </w:p>
        </w:tc>
      </w:tr>
      <w:tr w:rsidR="00132B23" w:rsidRPr="00852EAE" w14:paraId="11EA0E1F" w14:textId="77777777" w:rsidTr="007426BB">
        <w:trPr>
          <w:trHeight w:val="567"/>
        </w:trPr>
        <w:tc>
          <w:tcPr>
            <w:tcW w:w="3369" w:type="dxa"/>
          </w:tcPr>
          <w:p w14:paraId="6F902871"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Gjemnes kommune skal være den foretrukne kommunen å bo og leve i.</w:t>
            </w:r>
          </w:p>
        </w:tc>
        <w:tc>
          <w:tcPr>
            <w:tcW w:w="6202" w:type="dxa"/>
          </w:tcPr>
          <w:p w14:paraId="086C5D68"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Bokommunen</w:t>
            </w:r>
          </w:p>
          <w:p w14:paraId="4048170D"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Attraktive bo- og boligtilbud</w:t>
            </w:r>
          </w:p>
          <w:p w14:paraId="28A93760"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Levende kultur- og fritidsliv</w:t>
            </w:r>
          </w:p>
          <w:p w14:paraId="7EBE15B1"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Gode kommunikasjoner internt i kommunen og til byene rundt oss</w:t>
            </w:r>
          </w:p>
          <w:p w14:paraId="5D5333DD"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Aktiv synliggjøring av fordeler og aktiviteter på digitale plattformer</w:t>
            </w:r>
          </w:p>
          <w:p w14:paraId="5BF99C32"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Estetisk løft for kommunesenteret</w:t>
            </w:r>
          </w:p>
        </w:tc>
      </w:tr>
      <w:tr w:rsidR="00132B23" w:rsidRPr="00852EAE" w14:paraId="57649145" w14:textId="77777777" w:rsidTr="007426BB">
        <w:trPr>
          <w:trHeight w:val="567"/>
        </w:trPr>
        <w:tc>
          <w:tcPr>
            <w:tcW w:w="3369" w:type="dxa"/>
          </w:tcPr>
          <w:p w14:paraId="5B2C7A93"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Gjemnes kommunes tjenester skal fremme folkehelse og motvirke utenforskap</w:t>
            </w:r>
          </w:p>
        </w:tc>
        <w:tc>
          <w:tcPr>
            <w:tcW w:w="6202" w:type="dxa"/>
          </w:tcPr>
          <w:p w14:paraId="546745E6"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Inkluderingskommunen</w:t>
            </w:r>
          </w:p>
          <w:p w14:paraId="18F162FF"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Tidlig innsats for barn og unge</w:t>
            </w:r>
          </w:p>
          <w:p w14:paraId="7F6F8D53"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Inkluderende og universelt utformede tjenester og nærmiljø</w:t>
            </w:r>
          </w:p>
          <w:p w14:paraId="758DAE4C"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Styrke samarbeid mellom sektorene og mellom kommunen og frivilligheten</w:t>
            </w:r>
          </w:p>
        </w:tc>
      </w:tr>
      <w:tr w:rsidR="00132B23" w:rsidRPr="00852EAE" w14:paraId="021E28C0" w14:textId="77777777" w:rsidTr="007426BB">
        <w:trPr>
          <w:trHeight w:val="567"/>
        </w:trPr>
        <w:tc>
          <w:tcPr>
            <w:tcW w:w="3369" w:type="dxa"/>
          </w:tcPr>
          <w:p w14:paraId="4825E10D"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Gjemnes kommune skal være en foretrukken arbeidsgiver med medarbeidere som skaper gode resultater til beste for innbyggerne</w:t>
            </w:r>
          </w:p>
        </w:tc>
        <w:tc>
          <w:tcPr>
            <w:tcW w:w="6202" w:type="dxa"/>
          </w:tcPr>
          <w:p w14:paraId="70379985"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Arbeidsgiverkommunen</w:t>
            </w:r>
          </w:p>
          <w:p w14:paraId="20096F71"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Attraktive arbeidsvilkår og god personalpolitikk</w:t>
            </w:r>
          </w:p>
          <w:p w14:paraId="2504F9B9"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God og kompetent ledelse</w:t>
            </w:r>
          </w:p>
          <w:p w14:paraId="4AED0679"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Rolleforståelse og gjensidig respekt i hele organisasjonen</w:t>
            </w:r>
          </w:p>
        </w:tc>
      </w:tr>
      <w:tr w:rsidR="00132B23" w:rsidRPr="00852EAE" w14:paraId="777BCA9B" w14:textId="77777777" w:rsidTr="007426BB">
        <w:trPr>
          <w:trHeight w:val="567"/>
        </w:trPr>
        <w:tc>
          <w:tcPr>
            <w:tcW w:w="3369" w:type="dxa"/>
          </w:tcPr>
          <w:p w14:paraId="5A0E0A97"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 xml:space="preserve">Gjemnes kommune skal være en trygg kommune å bo og oppholde seg i </w:t>
            </w:r>
          </w:p>
        </w:tc>
        <w:tc>
          <w:tcPr>
            <w:tcW w:w="6202" w:type="dxa"/>
          </w:tcPr>
          <w:p w14:paraId="67B92F94"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Trygghetskommunen</w:t>
            </w:r>
          </w:p>
          <w:p w14:paraId="466320C0"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Systematisk beredskapsarbeid</w:t>
            </w:r>
          </w:p>
          <w:p w14:paraId="63EC3360"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Kunnskap om risiko og forebygging</w:t>
            </w:r>
          </w:p>
        </w:tc>
      </w:tr>
      <w:tr w:rsidR="00132B23" w:rsidRPr="00852EAE" w14:paraId="30BA71F0" w14:textId="77777777" w:rsidTr="007426BB">
        <w:trPr>
          <w:trHeight w:val="567"/>
        </w:trPr>
        <w:tc>
          <w:tcPr>
            <w:tcW w:w="3369" w:type="dxa"/>
          </w:tcPr>
          <w:p w14:paraId="63188941"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Gjemnes kommune skal være en attraktiv samarbeidspartner for næringsliv, frivillighet og nabokommuner</w:t>
            </w:r>
          </w:p>
        </w:tc>
        <w:tc>
          <w:tcPr>
            <w:tcW w:w="6202" w:type="dxa"/>
          </w:tcPr>
          <w:p w14:paraId="3F5660A6"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Samarbeidskommunen</w:t>
            </w:r>
          </w:p>
          <w:p w14:paraId="6FC69891"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Aktiv frivilligsentral</w:t>
            </w:r>
          </w:p>
          <w:p w14:paraId="30D7F1D5"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Effektiv saksbehandling og dialog med næringslivet</w:t>
            </w:r>
          </w:p>
          <w:p w14:paraId="6765354B" w14:textId="79175C58"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Troverdige partnerskap i regionen gjennom Nordmøre IPR og interkommunale tjenestesamarbeid</w:t>
            </w:r>
            <w:r w:rsidR="00C510F2">
              <w:rPr>
                <w:rFonts w:cstheme="minorHAnsi"/>
                <w:sz w:val="18"/>
                <w:szCs w:val="18"/>
              </w:rPr>
              <w:t xml:space="preserve"> </w:t>
            </w:r>
            <w:r w:rsidR="00C510F2" w:rsidRPr="00C510F2">
              <w:rPr>
                <w:rFonts w:cstheme="minorHAnsi"/>
                <w:sz w:val="18"/>
                <w:szCs w:val="18"/>
              </w:rPr>
              <w:t>på Nordmøre samt nabokommunene i Romsdal</w:t>
            </w:r>
          </w:p>
        </w:tc>
      </w:tr>
      <w:tr w:rsidR="00132B23" w:rsidRPr="00852EAE" w14:paraId="125F8463" w14:textId="77777777" w:rsidTr="007426BB">
        <w:trPr>
          <w:trHeight w:val="567"/>
        </w:trPr>
        <w:tc>
          <w:tcPr>
            <w:tcW w:w="3369" w:type="dxa"/>
          </w:tcPr>
          <w:p w14:paraId="7BB1C90B" w14:textId="77777777" w:rsidR="00132B23" w:rsidRPr="00852EAE" w:rsidRDefault="00132B23" w:rsidP="007426BB">
            <w:pPr>
              <w:rPr>
                <w:rFonts w:asciiTheme="minorHAnsi" w:hAnsiTheme="minorHAnsi" w:cstheme="minorHAnsi"/>
                <w:sz w:val="18"/>
                <w:szCs w:val="18"/>
              </w:rPr>
            </w:pPr>
            <w:r w:rsidRPr="00852EAE">
              <w:rPr>
                <w:rFonts w:asciiTheme="minorHAnsi" w:hAnsiTheme="minorHAnsi" w:cstheme="minorHAnsi"/>
                <w:sz w:val="18"/>
                <w:szCs w:val="18"/>
              </w:rPr>
              <w:t>Gjemnes kommune skal ha en bærekraftig kommuneøkonomi med handlingsrom for utvikling</w:t>
            </w:r>
          </w:p>
        </w:tc>
        <w:tc>
          <w:tcPr>
            <w:tcW w:w="6202" w:type="dxa"/>
          </w:tcPr>
          <w:p w14:paraId="6E7AA86C" w14:textId="77777777" w:rsidR="00132B23" w:rsidRPr="00852EAE" w:rsidRDefault="00132B23" w:rsidP="007426BB">
            <w:pPr>
              <w:rPr>
                <w:rFonts w:asciiTheme="minorHAnsi" w:hAnsiTheme="minorHAnsi" w:cstheme="minorHAnsi"/>
                <w:b/>
                <w:bCs/>
                <w:sz w:val="18"/>
                <w:szCs w:val="18"/>
              </w:rPr>
            </w:pPr>
            <w:r w:rsidRPr="00852EAE">
              <w:rPr>
                <w:rFonts w:asciiTheme="minorHAnsi" w:hAnsiTheme="minorHAnsi" w:cstheme="minorHAnsi"/>
                <w:b/>
                <w:bCs/>
                <w:sz w:val="18"/>
                <w:szCs w:val="18"/>
              </w:rPr>
              <w:t>Økonomikommunen</w:t>
            </w:r>
          </w:p>
          <w:p w14:paraId="729C3A22"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 xml:space="preserve">Effektiv og transparent økonomistyring </w:t>
            </w:r>
          </w:p>
          <w:p w14:paraId="6E6F10C7"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Strategisk utvikling av tjenestesamarbeid</w:t>
            </w:r>
          </w:p>
          <w:p w14:paraId="35E387D2"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Innovasjon og digitalisering i tjenestene</w:t>
            </w:r>
          </w:p>
          <w:p w14:paraId="74DE61EC" w14:textId="77777777" w:rsidR="00132B23" w:rsidRPr="00852EAE" w:rsidRDefault="00132B23" w:rsidP="00132B23">
            <w:pPr>
              <w:pStyle w:val="Listeavsnitt"/>
              <w:numPr>
                <w:ilvl w:val="0"/>
                <w:numId w:val="6"/>
              </w:numPr>
              <w:ind w:left="357" w:hanging="357"/>
              <w:rPr>
                <w:rFonts w:cstheme="minorHAnsi"/>
                <w:sz w:val="18"/>
                <w:szCs w:val="18"/>
              </w:rPr>
            </w:pPr>
            <w:r w:rsidRPr="00852EAE">
              <w:rPr>
                <w:rFonts w:cstheme="minorHAnsi"/>
                <w:sz w:val="18"/>
                <w:szCs w:val="18"/>
              </w:rPr>
              <w:t>Langsiktighet i gjelds- og finansforvaltningen</w:t>
            </w:r>
          </w:p>
        </w:tc>
      </w:tr>
    </w:tbl>
    <w:p w14:paraId="5BF21F05" w14:textId="77777777" w:rsidR="00A77B3E" w:rsidRPr="00132B23" w:rsidRDefault="00A77B3E">
      <w:pPr>
        <w:rPr>
          <w:rFonts w:ascii="Calibri" w:eastAsia="Calibri" w:hAnsi="Calibri" w:cs="Calibri"/>
          <w:color w:val="000000"/>
          <w:sz w:val="22"/>
        </w:rPr>
      </w:pPr>
    </w:p>
    <w:p w14:paraId="729CF7A0" w14:textId="366B2A8C" w:rsidR="00A77B3E" w:rsidRPr="00EE475F" w:rsidRDefault="00931F7F">
      <w:pPr>
        <w:pStyle w:val="Overskrift1"/>
        <w:rPr>
          <w:rFonts w:ascii="Calibri" w:eastAsia="Calibri" w:hAnsi="Calibri" w:cs="Calibri"/>
          <w:color w:val="374C80"/>
          <w:lang w:val="en-GB"/>
        </w:rPr>
      </w:pPr>
      <w:r>
        <w:rPr>
          <w:rFonts w:ascii="Calibri" w:eastAsia="Calibri" w:hAnsi="Calibri" w:cs="Calibri"/>
          <w:color w:val="374C80"/>
          <w:lang w:val="en-GB"/>
        </w:rPr>
        <w:br w:type="page"/>
      </w:r>
      <w:bookmarkStart w:id="7" w:name="_Toc201141448"/>
      <w:proofErr w:type="spellStart"/>
      <w:r w:rsidR="00000000" w:rsidRPr="00EE475F">
        <w:rPr>
          <w:rFonts w:ascii="Calibri" w:eastAsia="Calibri" w:hAnsi="Calibri" w:cs="Calibri"/>
          <w:color w:val="374C80"/>
          <w:lang w:val="en-GB"/>
        </w:rPr>
        <w:lastRenderedPageBreak/>
        <w:t>Overordnet</w:t>
      </w:r>
      <w:proofErr w:type="spellEnd"/>
      <w:r w:rsidR="00000000" w:rsidRPr="00EE475F">
        <w:rPr>
          <w:rFonts w:ascii="Calibri" w:eastAsia="Calibri" w:hAnsi="Calibri" w:cs="Calibri"/>
          <w:color w:val="374C80"/>
          <w:lang w:val="en-GB"/>
        </w:rPr>
        <w:t xml:space="preserve"> </w:t>
      </w:r>
      <w:proofErr w:type="spellStart"/>
      <w:r w:rsidR="00000000" w:rsidRPr="00EE475F">
        <w:rPr>
          <w:rFonts w:ascii="Calibri" w:eastAsia="Calibri" w:hAnsi="Calibri" w:cs="Calibri"/>
          <w:color w:val="374C80"/>
          <w:lang w:val="en-GB"/>
        </w:rPr>
        <w:t>arealstrategi</w:t>
      </w:r>
      <w:bookmarkEnd w:id="7"/>
      <w:proofErr w:type="spellEnd"/>
    </w:p>
    <w:p w14:paraId="0AD4BC26" w14:textId="77777777" w:rsidR="00A77B3E" w:rsidRPr="00EE475F" w:rsidRDefault="00A77B3E">
      <w:pPr>
        <w:rPr>
          <w:rFonts w:ascii="Calibri" w:eastAsia="Calibri" w:hAnsi="Calibri" w:cs="Calibri"/>
          <w:color w:val="000000"/>
          <w:sz w:val="22"/>
          <w:lang w:val="en-GB"/>
        </w:rPr>
      </w:pPr>
    </w:p>
    <w:p w14:paraId="1E42BD92"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Kommuneplanens arealdel (</w:t>
      </w:r>
      <w:hyperlink r:id="rId24" w:anchor="faqsporsmal-4" w:history="1">
        <w:r w:rsidR="00A77B3E">
          <w:rPr>
            <w:rFonts w:ascii="Calibri" w:eastAsia="Calibri" w:hAnsi="Calibri" w:cs="Calibri"/>
            <w:color w:val="0000FF"/>
            <w:sz w:val="22"/>
            <w:u w:val="single"/>
          </w:rPr>
          <w:t>LENKE</w:t>
        </w:r>
      </w:hyperlink>
      <w:r>
        <w:rPr>
          <w:rFonts w:ascii="Calibri" w:eastAsia="Calibri" w:hAnsi="Calibri" w:cs="Calibri"/>
          <w:color w:val="000000"/>
          <w:sz w:val="22"/>
        </w:rPr>
        <w:t>) skal revideres. Følgende strategier og hensyn skal vektlegges:</w:t>
      </w:r>
    </w:p>
    <w:p w14:paraId="26E7BC7A" w14:textId="6AF1EC38" w:rsidR="00A77B3E" w:rsidRPr="000B0467" w:rsidRDefault="00000000">
      <w:pPr>
        <w:rPr>
          <w:rStyle w:val="Sterk"/>
          <w:rFonts w:eastAsia="Calibri"/>
        </w:rPr>
      </w:pPr>
      <w:r>
        <w:rPr>
          <w:rFonts w:ascii="Calibri" w:eastAsia="Calibri" w:hAnsi="Calibri" w:cs="Calibri"/>
          <w:b/>
          <w:bCs/>
          <w:color w:val="000000"/>
          <w:sz w:val="22"/>
        </w:rPr>
        <w:t>Bo</w:t>
      </w:r>
    </w:p>
    <w:p w14:paraId="23365343"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Utvikle tomter og boligområder, med gode nærmiljøer, i og rundt eksisterende tettsteder og bygder.</w:t>
      </w:r>
    </w:p>
    <w:p w14:paraId="05770D78" w14:textId="77777777" w:rsidR="00A77B3E" w:rsidRPr="000B0467" w:rsidRDefault="00000000">
      <w:pPr>
        <w:rPr>
          <w:rFonts w:ascii="Calibri" w:eastAsia="Calibri" w:hAnsi="Calibri" w:cs="Calibri"/>
          <w:b/>
          <w:bCs/>
          <w:color w:val="000000"/>
          <w:sz w:val="22"/>
        </w:rPr>
      </w:pPr>
      <w:r>
        <w:rPr>
          <w:rFonts w:ascii="Calibri" w:eastAsia="Calibri" w:hAnsi="Calibri" w:cs="Calibri"/>
          <w:b/>
          <w:bCs/>
          <w:color w:val="000000"/>
          <w:sz w:val="22"/>
        </w:rPr>
        <w:t>Leve</w:t>
      </w:r>
    </w:p>
    <w:p w14:paraId="434C6FDD"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Oppgradere offentlig uterom i kommunesenteret og ellers, med gode grøntområder og møteplasser for å øke trivsel og bolyst. </w:t>
      </w:r>
    </w:p>
    <w:p w14:paraId="61B091A2" w14:textId="77777777" w:rsidR="00A77B3E" w:rsidRPr="000B0467" w:rsidRDefault="00000000">
      <w:pPr>
        <w:rPr>
          <w:rFonts w:ascii="Calibri" w:eastAsia="Calibri" w:hAnsi="Calibri" w:cs="Calibri"/>
          <w:b/>
          <w:bCs/>
          <w:color w:val="000000"/>
          <w:sz w:val="22"/>
        </w:rPr>
      </w:pPr>
      <w:r>
        <w:rPr>
          <w:rFonts w:ascii="Calibri" w:eastAsia="Calibri" w:hAnsi="Calibri" w:cs="Calibri"/>
          <w:b/>
          <w:bCs/>
          <w:color w:val="000000"/>
          <w:sz w:val="22"/>
        </w:rPr>
        <w:t>Trygg</w:t>
      </w:r>
    </w:p>
    <w:p w14:paraId="4DCFE90A"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Modernisere teknisk infrastruktur for framtidsrettet utbygging, og som beredskap mot klimaendringer.</w:t>
      </w:r>
    </w:p>
    <w:p w14:paraId="7F4CB3EF" w14:textId="77777777" w:rsidR="00A77B3E" w:rsidRPr="000B0467" w:rsidRDefault="00000000">
      <w:pPr>
        <w:rPr>
          <w:rFonts w:ascii="Calibri" w:eastAsia="Calibri" w:hAnsi="Calibri" w:cs="Calibri"/>
          <w:b/>
          <w:bCs/>
          <w:color w:val="000000"/>
          <w:sz w:val="22"/>
        </w:rPr>
      </w:pPr>
      <w:r>
        <w:rPr>
          <w:rFonts w:ascii="Calibri" w:eastAsia="Calibri" w:hAnsi="Calibri" w:cs="Calibri"/>
          <w:b/>
          <w:bCs/>
          <w:color w:val="000000"/>
          <w:sz w:val="22"/>
        </w:rPr>
        <w:t>Bærekraftig</w:t>
      </w:r>
    </w:p>
    <w:p w14:paraId="3C9FE211"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Sikre landbruksarealer mot nedbygging og oppsplitting. </w:t>
      </w:r>
    </w:p>
    <w:p w14:paraId="7AE9A296" w14:textId="77777777" w:rsidR="00A77B3E" w:rsidRPr="000B0467" w:rsidRDefault="00000000">
      <w:pPr>
        <w:rPr>
          <w:rFonts w:ascii="Calibri" w:eastAsia="Calibri" w:hAnsi="Calibri" w:cs="Calibri"/>
          <w:b/>
          <w:bCs/>
          <w:color w:val="000000"/>
          <w:sz w:val="22"/>
        </w:rPr>
      </w:pPr>
      <w:r>
        <w:rPr>
          <w:rFonts w:ascii="Calibri" w:eastAsia="Calibri" w:hAnsi="Calibri" w:cs="Calibri"/>
          <w:b/>
          <w:bCs/>
          <w:color w:val="000000"/>
          <w:sz w:val="22"/>
        </w:rPr>
        <w:t>Miljø</w:t>
      </w:r>
    </w:p>
    <w:p w14:paraId="700F50CC"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Vi tar hensyn til viktig naturmangfold, friluftsområder, overordnet grønnstruktur og landskap samt kulturminner, og ser dette i sammenheng.</w:t>
      </w:r>
    </w:p>
    <w:p w14:paraId="67E8D443" w14:textId="77777777"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 </w:t>
      </w:r>
    </w:p>
    <w:tbl>
      <w:tblPr>
        <w:tblStyle w:val="image"/>
        <w:tblW w:w="0" w:type="auto"/>
        <w:jc w:val="center"/>
        <w:tblCellSpacing w:w="15" w:type="dxa"/>
        <w:tblCellMar>
          <w:top w:w="15" w:type="dxa"/>
          <w:left w:w="15" w:type="dxa"/>
          <w:bottom w:w="15" w:type="dxa"/>
          <w:right w:w="15" w:type="dxa"/>
        </w:tblCellMar>
        <w:tblLook w:val="05E0" w:firstRow="1" w:lastRow="1" w:firstColumn="1" w:lastColumn="1" w:noHBand="0" w:noVBand="1"/>
      </w:tblPr>
      <w:tblGrid>
        <w:gridCol w:w="9090"/>
      </w:tblGrid>
      <w:tr w:rsidR="00F8153A" w14:paraId="00130CEE" w14:textId="77777777">
        <w:trPr>
          <w:tblCellSpacing w:w="15" w:type="dxa"/>
          <w:jc w:val="center"/>
        </w:trPr>
        <w:tc>
          <w:tcPr>
            <w:tcW w:w="0" w:type="auto"/>
            <w:tcMar>
              <w:top w:w="15" w:type="dxa"/>
              <w:left w:w="15" w:type="dxa"/>
              <w:bottom w:w="15" w:type="dxa"/>
              <w:right w:w="15" w:type="dxa"/>
            </w:tcMar>
            <w:vAlign w:val="center"/>
            <w:hideMark/>
          </w:tcPr>
          <w:p w14:paraId="6A23F24B" w14:textId="77777777" w:rsidR="00A77B3E" w:rsidRDefault="00000000">
            <w:pPr>
              <w:spacing w:afterAutospacing="1"/>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64DF96F1" wp14:editId="70AE813A">
                  <wp:extent cx="5715000" cy="3209925"/>
                  <wp:effectExtent l="0" t="0" r="0" b="0"/>
                  <wp:docPr id="100011" name="Bild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5"/>
                          <a:stretch>
                            <a:fillRect/>
                          </a:stretch>
                        </pic:blipFill>
                        <pic:spPr>
                          <a:xfrm>
                            <a:off x="0" y="0"/>
                            <a:ext cx="5715000" cy="3209925"/>
                          </a:xfrm>
                          <a:prstGeom prst="rect">
                            <a:avLst/>
                          </a:prstGeom>
                        </pic:spPr>
                      </pic:pic>
                    </a:graphicData>
                  </a:graphic>
                </wp:inline>
              </w:drawing>
            </w:r>
          </w:p>
        </w:tc>
      </w:tr>
    </w:tbl>
    <w:p w14:paraId="25A0FEC8" w14:textId="598254B2" w:rsidR="00A77B3E" w:rsidRDefault="00000000">
      <w:pPr>
        <w:spacing w:afterAutospacing="1"/>
        <w:rPr>
          <w:rFonts w:ascii="Calibri" w:eastAsia="Calibri" w:hAnsi="Calibri" w:cs="Calibri"/>
          <w:color w:val="000000"/>
          <w:sz w:val="22"/>
        </w:rPr>
      </w:pPr>
      <w:r>
        <w:rPr>
          <w:rFonts w:ascii="Calibri" w:eastAsia="Calibri" w:hAnsi="Calibri" w:cs="Calibri"/>
          <w:color w:val="000000"/>
          <w:sz w:val="22"/>
        </w:rPr>
        <w:t> </w:t>
      </w:r>
    </w:p>
    <w:sectPr w:rsidR="00A77B3E">
      <w:headerReference w:type="default" r:id="rId26"/>
      <w:footerReference w:type="default" r:id="rId27"/>
      <w:pgSz w:w="11906" w:h="16838"/>
      <w:pgMar w:top="1440" w:right="1134" w:bottom="1440"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D0BFB" w14:textId="77777777" w:rsidR="00A17C09" w:rsidRDefault="00A17C09">
      <w:r>
        <w:separator/>
      </w:r>
    </w:p>
  </w:endnote>
  <w:endnote w:type="continuationSeparator" w:id="0">
    <w:p w14:paraId="06A3DC44" w14:textId="77777777" w:rsidR="00A17C09" w:rsidRDefault="00A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42B6" w14:textId="77777777" w:rsidR="00F8153A" w:rsidRDefault="00000000">
    <w:pPr>
      <w:jc w:val="center"/>
      <w:rPr>
        <w:rFonts w:ascii="Calibri" w:eastAsia="Calibri" w:hAnsi="Calibri" w:cs="Calibri"/>
        <w:color w:val="000000"/>
        <w:sz w:val="22"/>
      </w:rPr>
    </w:pPr>
    <w:r>
      <w:rPr>
        <w:rFonts w:ascii="Calibri" w:eastAsia="Calibri" w:hAnsi="Calibri" w:cs="Calibri"/>
        <w:color w:val="000000"/>
        <w:sz w:val="22"/>
      </w:rPr>
      <w:t xml:space="preserve">Side </w:t>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B66A9C">
      <w:rPr>
        <w:rFonts w:ascii="Calibri" w:eastAsia="Calibri" w:hAnsi="Calibri" w:cs="Calibri"/>
        <w:noProof/>
        <w:color w:val="000000"/>
        <w:sz w:val="22"/>
      </w:rPr>
      <w:t>2</w:t>
    </w:r>
    <w:r>
      <w:rPr>
        <w:rFonts w:ascii="Calibri" w:eastAsia="Calibri" w:hAnsi="Calibri" w:cs="Calibri"/>
        <w:color w:val="000000"/>
        <w:sz w:val="22"/>
      </w:rPr>
      <w:fldChar w:fldCharType="end"/>
    </w:r>
    <w:r>
      <w:rPr>
        <w:rFonts w:ascii="Calibri" w:eastAsia="Calibri" w:hAnsi="Calibri" w:cs="Calibri"/>
        <w:color w:val="000000"/>
        <w:sz w:val="22"/>
      </w:rPr>
      <w:t xml:space="preserve"> av </w:t>
    </w:r>
    <w:r>
      <w:rPr>
        <w:rFonts w:ascii="Calibri" w:eastAsia="Calibri" w:hAnsi="Calibri" w:cs="Calibri"/>
        <w:color w:val="000000"/>
        <w:sz w:val="22"/>
      </w:rPr>
      <w:fldChar w:fldCharType="begin"/>
    </w:r>
    <w:r>
      <w:rPr>
        <w:rFonts w:ascii="Calibri" w:eastAsia="Calibri" w:hAnsi="Calibri" w:cs="Calibri"/>
        <w:color w:val="000000"/>
        <w:sz w:val="22"/>
      </w:rPr>
      <w:instrText>NUMPAGES</w:instrText>
    </w:r>
    <w:r>
      <w:rPr>
        <w:rFonts w:ascii="Calibri" w:eastAsia="Calibri" w:hAnsi="Calibri" w:cs="Calibri"/>
        <w:color w:val="000000"/>
        <w:sz w:val="22"/>
      </w:rPr>
      <w:fldChar w:fldCharType="separate"/>
    </w:r>
    <w:r w:rsidR="00B66A9C">
      <w:rPr>
        <w:rFonts w:ascii="Calibri" w:eastAsia="Calibri" w:hAnsi="Calibri" w:cs="Calibri"/>
        <w:noProof/>
        <w:color w:val="000000"/>
        <w:sz w:val="22"/>
      </w:rPr>
      <w:t>3</w:t>
    </w:r>
    <w:r>
      <w:rPr>
        <w:rFonts w:ascii="Calibri" w:eastAsia="Calibri" w:hAnsi="Calibri" w:cs="Calibri"/>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12823" w14:textId="77777777" w:rsidR="00A17C09" w:rsidRDefault="00A17C09">
      <w:r>
        <w:separator/>
      </w:r>
    </w:p>
  </w:footnote>
  <w:footnote w:type="continuationSeparator" w:id="0">
    <w:p w14:paraId="6FCC8F3E" w14:textId="77777777" w:rsidR="00A17C09" w:rsidRDefault="00A17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B87C" w14:textId="77777777" w:rsidR="00F8153A" w:rsidRDefault="00000000">
    <w:pPr>
      <w:jc w:val="center"/>
      <w:rPr>
        <w:rFonts w:ascii="Calibri" w:eastAsia="Calibri" w:hAnsi="Calibri" w:cs="Calibri"/>
        <w:color w:val="000000"/>
        <w:sz w:val="22"/>
      </w:rPr>
    </w:pPr>
    <w:r>
      <w:rPr>
        <w:rFonts w:ascii="Calibri" w:eastAsia="Calibri" w:hAnsi="Calibri" w:cs="Calibri"/>
        <w:color w:val="000000"/>
        <w:sz w:val="22"/>
      </w:rPr>
      <w:t>Kommuneplanens samfunnsdel 2025 – 2037</w:t>
    </w:r>
  </w:p>
  <w:p w14:paraId="11436084" w14:textId="77777777" w:rsidR="00F8153A" w:rsidRDefault="00F8153A">
    <w:pPr>
      <w:jc w:val="center"/>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B15A3658">
      <w:start w:val="1"/>
      <w:numFmt w:val="bullet"/>
      <w:lvlText w:val=""/>
      <w:lvlJc w:val="left"/>
      <w:pPr>
        <w:ind w:left="720" w:hanging="360"/>
      </w:pPr>
      <w:rPr>
        <w:rFonts w:ascii="Symbol" w:hAnsi="Symbol"/>
      </w:rPr>
    </w:lvl>
    <w:lvl w:ilvl="1" w:tplc="4816F1B2">
      <w:start w:val="1"/>
      <w:numFmt w:val="bullet"/>
      <w:lvlText w:val="o"/>
      <w:lvlJc w:val="left"/>
      <w:pPr>
        <w:tabs>
          <w:tab w:val="num" w:pos="1440"/>
        </w:tabs>
        <w:ind w:left="1440" w:hanging="360"/>
      </w:pPr>
      <w:rPr>
        <w:rFonts w:ascii="Courier New" w:hAnsi="Courier New"/>
      </w:rPr>
    </w:lvl>
    <w:lvl w:ilvl="2" w:tplc="FE989BC0">
      <w:start w:val="1"/>
      <w:numFmt w:val="bullet"/>
      <w:lvlText w:val=""/>
      <w:lvlJc w:val="left"/>
      <w:pPr>
        <w:tabs>
          <w:tab w:val="num" w:pos="2160"/>
        </w:tabs>
        <w:ind w:left="2160" w:hanging="360"/>
      </w:pPr>
      <w:rPr>
        <w:rFonts w:ascii="Wingdings" w:hAnsi="Wingdings"/>
      </w:rPr>
    </w:lvl>
    <w:lvl w:ilvl="3" w:tplc="9F726834">
      <w:start w:val="1"/>
      <w:numFmt w:val="bullet"/>
      <w:lvlText w:val=""/>
      <w:lvlJc w:val="left"/>
      <w:pPr>
        <w:tabs>
          <w:tab w:val="num" w:pos="2880"/>
        </w:tabs>
        <w:ind w:left="2880" w:hanging="360"/>
      </w:pPr>
      <w:rPr>
        <w:rFonts w:ascii="Symbol" w:hAnsi="Symbol"/>
      </w:rPr>
    </w:lvl>
    <w:lvl w:ilvl="4" w:tplc="171607A8">
      <w:start w:val="1"/>
      <w:numFmt w:val="bullet"/>
      <w:lvlText w:val="o"/>
      <w:lvlJc w:val="left"/>
      <w:pPr>
        <w:tabs>
          <w:tab w:val="num" w:pos="3600"/>
        </w:tabs>
        <w:ind w:left="3600" w:hanging="360"/>
      </w:pPr>
      <w:rPr>
        <w:rFonts w:ascii="Courier New" w:hAnsi="Courier New"/>
      </w:rPr>
    </w:lvl>
    <w:lvl w:ilvl="5" w:tplc="2FD0B11A">
      <w:start w:val="1"/>
      <w:numFmt w:val="bullet"/>
      <w:lvlText w:val=""/>
      <w:lvlJc w:val="left"/>
      <w:pPr>
        <w:tabs>
          <w:tab w:val="num" w:pos="4320"/>
        </w:tabs>
        <w:ind w:left="4320" w:hanging="360"/>
      </w:pPr>
      <w:rPr>
        <w:rFonts w:ascii="Wingdings" w:hAnsi="Wingdings"/>
      </w:rPr>
    </w:lvl>
    <w:lvl w:ilvl="6" w:tplc="A6BAD9C0">
      <w:start w:val="1"/>
      <w:numFmt w:val="bullet"/>
      <w:lvlText w:val=""/>
      <w:lvlJc w:val="left"/>
      <w:pPr>
        <w:tabs>
          <w:tab w:val="num" w:pos="5040"/>
        </w:tabs>
        <w:ind w:left="5040" w:hanging="360"/>
      </w:pPr>
      <w:rPr>
        <w:rFonts w:ascii="Symbol" w:hAnsi="Symbol"/>
      </w:rPr>
    </w:lvl>
    <w:lvl w:ilvl="7" w:tplc="44AE322C">
      <w:start w:val="1"/>
      <w:numFmt w:val="bullet"/>
      <w:lvlText w:val="o"/>
      <w:lvlJc w:val="left"/>
      <w:pPr>
        <w:tabs>
          <w:tab w:val="num" w:pos="5760"/>
        </w:tabs>
        <w:ind w:left="5760" w:hanging="360"/>
      </w:pPr>
      <w:rPr>
        <w:rFonts w:ascii="Courier New" w:hAnsi="Courier New"/>
      </w:rPr>
    </w:lvl>
    <w:lvl w:ilvl="8" w:tplc="10701A0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1DE20D8">
      <w:start w:val="1"/>
      <w:numFmt w:val="bullet"/>
      <w:lvlText w:val=""/>
      <w:lvlJc w:val="left"/>
      <w:pPr>
        <w:ind w:left="720" w:hanging="360"/>
      </w:pPr>
      <w:rPr>
        <w:rFonts w:ascii="Symbol" w:hAnsi="Symbol"/>
      </w:rPr>
    </w:lvl>
    <w:lvl w:ilvl="1" w:tplc="4F32956C">
      <w:start w:val="1"/>
      <w:numFmt w:val="bullet"/>
      <w:lvlText w:val="o"/>
      <w:lvlJc w:val="left"/>
      <w:pPr>
        <w:tabs>
          <w:tab w:val="num" w:pos="1440"/>
        </w:tabs>
        <w:ind w:left="1440" w:hanging="360"/>
      </w:pPr>
      <w:rPr>
        <w:rFonts w:ascii="Courier New" w:hAnsi="Courier New"/>
      </w:rPr>
    </w:lvl>
    <w:lvl w:ilvl="2" w:tplc="D71037B8">
      <w:start w:val="1"/>
      <w:numFmt w:val="bullet"/>
      <w:lvlText w:val=""/>
      <w:lvlJc w:val="left"/>
      <w:pPr>
        <w:tabs>
          <w:tab w:val="num" w:pos="2160"/>
        </w:tabs>
        <w:ind w:left="2160" w:hanging="360"/>
      </w:pPr>
      <w:rPr>
        <w:rFonts w:ascii="Wingdings" w:hAnsi="Wingdings"/>
      </w:rPr>
    </w:lvl>
    <w:lvl w:ilvl="3" w:tplc="E5EE7092">
      <w:start w:val="1"/>
      <w:numFmt w:val="bullet"/>
      <w:lvlText w:val=""/>
      <w:lvlJc w:val="left"/>
      <w:pPr>
        <w:tabs>
          <w:tab w:val="num" w:pos="2880"/>
        </w:tabs>
        <w:ind w:left="2880" w:hanging="360"/>
      </w:pPr>
      <w:rPr>
        <w:rFonts w:ascii="Symbol" w:hAnsi="Symbol"/>
      </w:rPr>
    </w:lvl>
    <w:lvl w:ilvl="4" w:tplc="323A5DEA">
      <w:start w:val="1"/>
      <w:numFmt w:val="bullet"/>
      <w:lvlText w:val="o"/>
      <w:lvlJc w:val="left"/>
      <w:pPr>
        <w:tabs>
          <w:tab w:val="num" w:pos="3600"/>
        </w:tabs>
        <w:ind w:left="3600" w:hanging="360"/>
      </w:pPr>
      <w:rPr>
        <w:rFonts w:ascii="Courier New" w:hAnsi="Courier New"/>
      </w:rPr>
    </w:lvl>
    <w:lvl w:ilvl="5" w:tplc="69C2CEF0">
      <w:start w:val="1"/>
      <w:numFmt w:val="bullet"/>
      <w:lvlText w:val=""/>
      <w:lvlJc w:val="left"/>
      <w:pPr>
        <w:tabs>
          <w:tab w:val="num" w:pos="4320"/>
        </w:tabs>
        <w:ind w:left="4320" w:hanging="360"/>
      </w:pPr>
      <w:rPr>
        <w:rFonts w:ascii="Wingdings" w:hAnsi="Wingdings"/>
      </w:rPr>
    </w:lvl>
    <w:lvl w:ilvl="6" w:tplc="4686E878">
      <w:start w:val="1"/>
      <w:numFmt w:val="bullet"/>
      <w:lvlText w:val=""/>
      <w:lvlJc w:val="left"/>
      <w:pPr>
        <w:tabs>
          <w:tab w:val="num" w:pos="5040"/>
        </w:tabs>
        <w:ind w:left="5040" w:hanging="360"/>
      </w:pPr>
      <w:rPr>
        <w:rFonts w:ascii="Symbol" w:hAnsi="Symbol"/>
      </w:rPr>
    </w:lvl>
    <w:lvl w:ilvl="7" w:tplc="F64C8E06">
      <w:start w:val="1"/>
      <w:numFmt w:val="bullet"/>
      <w:lvlText w:val="o"/>
      <w:lvlJc w:val="left"/>
      <w:pPr>
        <w:tabs>
          <w:tab w:val="num" w:pos="5760"/>
        </w:tabs>
        <w:ind w:left="5760" w:hanging="360"/>
      </w:pPr>
      <w:rPr>
        <w:rFonts w:ascii="Courier New" w:hAnsi="Courier New"/>
      </w:rPr>
    </w:lvl>
    <w:lvl w:ilvl="8" w:tplc="055291B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C3019E4">
      <w:start w:val="1"/>
      <w:numFmt w:val="bullet"/>
      <w:lvlText w:val=""/>
      <w:lvlJc w:val="left"/>
      <w:pPr>
        <w:ind w:left="720" w:hanging="360"/>
      </w:pPr>
      <w:rPr>
        <w:rFonts w:ascii="Symbol" w:hAnsi="Symbol"/>
      </w:rPr>
    </w:lvl>
    <w:lvl w:ilvl="1" w:tplc="96E68A20">
      <w:start w:val="1"/>
      <w:numFmt w:val="bullet"/>
      <w:lvlText w:val="o"/>
      <w:lvlJc w:val="left"/>
      <w:pPr>
        <w:tabs>
          <w:tab w:val="num" w:pos="1440"/>
        </w:tabs>
        <w:ind w:left="1440" w:hanging="360"/>
      </w:pPr>
      <w:rPr>
        <w:rFonts w:ascii="Courier New" w:hAnsi="Courier New"/>
      </w:rPr>
    </w:lvl>
    <w:lvl w:ilvl="2" w:tplc="99AABF8C">
      <w:start w:val="1"/>
      <w:numFmt w:val="bullet"/>
      <w:lvlText w:val=""/>
      <w:lvlJc w:val="left"/>
      <w:pPr>
        <w:tabs>
          <w:tab w:val="num" w:pos="2160"/>
        </w:tabs>
        <w:ind w:left="2160" w:hanging="360"/>
      </w:pPr>
      <w:rPr>
        <w:rFonts w:ascii="Wingdings" w:hAnsi="Wingdings"/>
      </w:rPr>
    </w:lvl>
    <w:lvl w:ilvl="3" w:tplc="187E0792">
      <w:start w:val="1"/>
      <w:numFmt w:val="bullet"/>
      <w:lvlText w:val=""/>
      <w:lvlJc w:val="left"/>
      <w:pPr>
        <w:tabs>
          <w:tab w:val="num" w:pos="2880"/>
        </w:tabs>
        <w:ind w:left="2880" w:hanging="360"/>
      </w:pPr>
      <w:rPr>
        <w:rFonts w:ascii="Symbol" w:hAnsi="Symbol"/>
      </w:rPr>
    </w:lvl>
    <w:lvl w:ilvl="4" w:tplc="E174C3EE">
      <w:start w:val="1"/>
      <w:numFmt w:val="bullet"/>
      <w:lvlText w:val="o"/>
      <w:lvlJc w:val="left"/>
      <w:pPr>
        <w:tabs>
          <w:tab w:val="num" w:pos="3600"/>
        </w:tabs>
        <w:ind w:left="3600" w:hanging="360"/>
      </w:pPr>
      <w:rPr>
        <w:rFonts w:ascii="Courier New" w:hAnsi="Courier New"/>
      </w:rPr>
    </w:lvl>
    <w:lvl w:ilvl="5" w:tplc="36AA727E">
      <w:start w:val="1"/>
      <w:numFmt w:val="bullet"/>
      <w:lvlText w:val=""/>
      <w:lvlJc w:val="left"/>
      <w:pPr>
        <w:tabs>
          <w:tab w:val="num" w:pos="4320"/>
        </w:tabs>
        <w:ind w:left="4320" w:hanging="360"/>
      </w:pPr>
      <w:rPr>
        <w:rFonts w:ascii="Wingdings" w:hAnsi="Wingdings"/>
      </w:rPr>
    </w:lvl>
    <w:lvl w:ilvl="6" w:tplc="D406A286">
      <w:start w:val="1"/>
      <w:numFmt w:val="bullet"/>
      <w:lvlText w:val=""/>
      <w:lvlJc w:val="left"/>
      <w:pPr>
        <w:tabs>
          <w:tab w:val="num" w:pos="5040"/>
        </w:tabs>
        <w:ind w:left="5040" w:hanging="360"/>
      </w:pPr>
      <w:rPr>
        <w:rFonts w:ascii="Symbol" w:hAnsi="Symbol"/>
      </w:rPr>
    </w:lvl>
    <w:lvl w:ilvl="7" w:tplc="7892D82E">
      <w:start w:val="1"/>
      <w:numFmt w:val="bullet"/>
      <w:lvlText w:val="o"/>
      <w:lvlJc w:val="left"/>
      <w:pPr>
        <w:tabs>
          <w:tab w:val="num" w:pos="5760"/>
        </w:tabs>
        <w:ind w:left="5760" w:hanging="360"/>
      </w:pPr>
      <w:rPr>
        <w:rFonts w:ascii="Courier New" w:hAnsi="Courier New"/>
      </w:rPr>
    </w:lvl>
    <w:lvl w:ilvl="8" w:tplc="FD6EF60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8CACC38">
      <w:start w:val="1"/>
      <w:numFmt w:val="bullet"/>
      <w:lvlText w:val=""/>
      <w:lvlJc w:val="left"/>
      <w:pPr>
        <w:ind w:left="720" w:hanging="360"/>
      </w:pPr>
      <w:rPr>
        <w:rFonts w:ascii="Symbol" w:hAnsi="Symbol"/>
      </w:rPr>
    </w:lvl>
    <w:lvl w:ilvl="1" w:tplc="1B34FB4C">
      <w:start w:val="1"/>
      <w:numFmt w:val="bullet"/>
      <w:lvlText w:val="o"/>
      <w:lvlJc w:val="left"/>
      <w:pPr>
        <w:tabs>
          <w:tab w:val="num" w:pos="1440"/>
        </w:tabs>
        <w:ind w:left="1440" w:hanging="360"/>
      </w:pPr>
      <w:rPr>
        <w:rFonts w:ascii="Courier New" w:hAnsi="Courier New"/>
      </w:rPr>
    </w:lvl>
    <w:lvl w:ilvl="2" w:tplc="56CAF112">
      <w:start w:val="1"/>
      <w:numFmt w:val="bullet"/>
      <w:lvlText w:val=""/>
      <w:lvlJc w:val="left"/>
      <w:pPr>
        <w:tabs>
          <w:tab w:val="num" w:pos="2160"/>
        </w:tabs>
        <w:ind w:left="2160" w:hanging="360"/>
      </w:pPr>
      <w:rPr>
        <w:rFonts w:ascii="Wingdings" w:hAnsi="Wingdings"/>
      </w:rPr>
    </w:lvl>
    <w:lvl w:ilvl="3" w:tplc="EB8E5008">
      <w:start w:val="1"/>
      <w:numFmt w:val="bullet"/>
      <w:lvlText w:val=""/>
      <w:lvlJc w:val="left"/>
      <w:pPr>
        <w:tabs>
          <w:tab w:val="num" w:pos="2880"/>
        </w:tabs>
        <w:ind w:left="2880" w:hanging="360"/>
      </w:pPr>
      <w:rPr>
        <w:rFonts w:ascii="Symbol" w:hAnsi="Symbol"/>
      </w:rPr>
    </w:lvl>
    <w:lvl w:ilvl="4" w:tplc="D4C8A248">
      <w:start w:val="1"/>
      <w:numFmt w:val="bullet"/>
      <w:lvlText w:val="o"/>
      <w:lvlJc w:val="left"/>
      <w:pPr>
        <w:tabs>
          <w:tab w:val="num" w:pos="3600"/>
        </w:tabs>
        <w:ind w:left="3600" w:hanging="360"/>
      </w:pPr>
      <w:rPr>
        <w:rFonts w:ascii="Courier New" w:hAnsi="Courier New"/>
      </w:rPr>
    </w:lvl>
    <w:lvl w:ilvl="5" w:tplc="1A7A008A">
      <w:start w:val="1"/>
      <w:numFmt w:val="bullet"/>
      <w:lvlText w:val=""/>
      <w:lvlJc w:val="left"/>
      <w:pPr>
        <w:tabs>
          <w:tab w:val="num" w:pos="4320"/>
        </w:tabs>
        <w:ind w:left="4320" w:hanging="360"/>
      </w:pPr>
      <w:rPr>
        <w:rFonts w:ascii="Wingdings" w:hAnsi="Wingdings"/>
      </w:rPr>
    </w:lvl>
    <w:lvl w:ilvl="6" w:tplc="FCAE5876">
      <w:start w:val="1"/>
      <w:numFmt w:val="bullet"/>
      <w:lvlText w:val=""/>
      <w:lvlJc w:val="left"/>
      <w:pPr>
        <w:tabs>
          <w:tab w:val="num" w:pos="5040"/>
        </w:tabs>
        <w:ind w:left="5040" w:hanging="360"/>
      </w:pPr>
      <w:rPr>
        <w:rFonts w:ascii="Symbol" w:hAnsi="Symbol"/>
      </w:rPr>
    </w:lvl>
    <w:lvl w:ilvl="7" w:tplc="051C67E4">
      <w:start w:val="1"/>
      <w:numFmt w:val="bullet"/>
      <w:lvlText w:val="o"/>
      <w:lvlJc w:val="left"/>
      <w:pPr>
        <w:tabs>
          <w:tab w:val="num" w:pos="5760"/>
        </w:tabs>
        <w:ind w:left="5760" w:hanging="360"/>
      </w:pPr>
      <w:rPr>
        <w:rFonts w:ascii="Courier New" w:hAnsi="Courier New"/>
      </w:rPr>
    </w:lvl>
    <w:lvl w:ilvl="8" w:tplc="FDCE65A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2E0BEEC">
      <w:start w:val="1"/>
      <w:numFmt w:val="bullet"/>
      <w:lvlText w:val=""/>
      <w:lvlJc w:val="left"/>
      <w:pPr>
        <w:ind w:left="720" w:hanging="360"/>
      </w:pPr>
      <w:rPr>
        <w:rFonts w:ascii="Symbol" w:hAnsi="Symbol"/>
      </w:rPr>
    </w:lvl>
    <w:lvl w:ilvl="1" w:tplc="D3CCD06E">
      <w:start w:val="1"/>
      <w:numFmt w:val="bullet"/>
      <w:lvlText w:val="o"/>
      <w:lvlJc w:val="left"/>
      <w:pPr>
        <w:tabs>
          <w:tab w:val="num" w:pos="1440"/>
        </w:tabs>
        <w:ind w:left="1440" w:hanging="360"/>
      </w:pPr>
      <w:rPr>
        <w:rFonts w:ascii="Courier New" w:hAnsi="Courier New"/>
      </w:rPr>
    </w:lvl>
    <w:lvl w:ilvl="2" w:tplc="BFFEF5A4">
      <w:start w:val="1"/>
      <w:numFmt w:val="bullet"/>
      <w:lvlText w:val=""/>
      <w:lvlJc w:val="left"/>
      <w:pPr>
        <w:tabs>
          <w:tab w:val="num" w:pos="2160"/>
        </w:tabs>
        <w:ind w:left="2160" w:hanging="360"/>
      </w:pPr>
      <w:rPr>
        <w:rFonts w:ascii="Wingdings" w:hAnsi="Wingdings"/>
      </w:rPr>
    </w:lvl>
    <w:lvl w:ilvl="3" w:tplc="4D60CC02">
      <w:start w:val="1"/>
      <w:numFmt w:val="bullet"/>
      <w:lvlText w:val=""/>
      <w:lvlJc w:val="left"/>
      <w:pPr>
        <w:tabs>
          <w:tab w:val="num" w:pos="2880"/>
        </w:tabs>
        <w:ind w:left="2880" w:hanging="360"/>
      </w:pPr>
      <w:rPr>
        <w:rFonts w:ascii="Symbol" w:hAnsi="Symbol"/>
      </w:rPr>
    </w:lvl>
    <w:lvl w:ilvl="4" w:tplc="EC0E65E4">
      <w:start w:val="1"/>
      <w:numFmt w:val="bullet"/>
      <w:lvlText w:val="o"/>
      <w:lvlJc w:val="left"/>
      <w:pPr>
        <w:tabs>
          <w:tab w:val="num" w:pos="3600"/>
        </w:tabs>
        <w:ind w:left="3600" w:hanging="360"/>
      </w:pPr>
      <w:rPr>
        <w:rFonts w:ascii="Courier New" w:hAnsi="Courier New"/>
      </w:rPr>
    </w:lvl>
    <w:lvl w:ilvl="5" w:tplc="4A3892C8">
      <w:start w:val="1"/>
      <w:numFmt w:val="bullet"/>
      <w:lvlText w:val=""/>
      <w:lvlJc w:val="left"/>
      <w:pPr>
        <w:tabs>
          <w:tab w:val="num" w:pos="4320"/>
        </w:tabs>
        <w:ind w:left="4320" w:hanging="360"/>
      </w:pPr>
      <w:rPr>
        <w:rFonts w:ascii="Wingdings" w:hAnsi="Wingdings"/>
      </w:rPr>
    </w:lvl>
    <w:lvl w:ilvl="6" w:tplc="B0BEF8BA">
      <w:start w:val="1"/>
      <w:numFmt w:val="bullet"/>
      <w:lvlText w:val=""/>
      <w:lvlJc w:val="left"/>
      <w:pPr>
        <w:tabs>
          <w:tab w:val="num" w:pos="5040"/>
        </w:tabs>
        <w:ind w:left="5040" w:hanging="360"/>
      </w:pPr>
      <w:rPr>
        <w:rFonts w:ascii="Symbol" w:hAnsi="Symbol"/>
      </w:rPr>
    </w:lvl>
    <w:lvl w:ilvl="7" w:tplc="B4C68034">
      <w:start w:val="1"/>
      <w:numFmt w:val="bullet"/>
      <w:lvlText w:val="o"/>
      <w:lvlJc w:val="left"/>
      <w:pPr>
        <w:tabs>
          <w:tab w:val="num" w:pos="5760"/>
        </w:tabs>
        <w:ind w:left="5760" w:hanging="360"/>
      </w:pPr>
      <w:rPr>
        <w:rFonts w:ascii="Courier New" w:hAnsi="Courier New"/>
      </w:rPr>
    </w:lvl>
    <w:lvl w:ilvl="8" w:tplc="EDBAADAE">
      <w:start w:val="1"/>
      <w:numFmt w:val="bullet"/>
      <w:lvlText w:val=""/>
      <w:lvlJc w:val="left"/>
      <w:pPr>
        <w:tabs>
          <w:tab w:val="num" w:pos="6480"/>
        </w:tabs>
        <w:ind w:left="6480" w:hanging="360"/>
      </w:pPr>
      <w:rPr>
        <w:rFonts w:ascii="Wingdings" w:hAnsi="Wingdings"/>
      </w:rPr>
    </w:lvl>
  </w:abstractNum>
  <w:abstractNum w:abstractNumId="5" w15:restartNumberingAfterBreak="0">
    <w:nsid w:val="5E867945"/>
    <w:multiLevelType w:val="hybridMultilevel"/>
    <w:tmpl w:val="4C327866"/>
    <w:lvl w:ilvl="0" w:tplc="9378D61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1272115">
    <w:abstractNumId w:val="0"/>
  </w:num>
  <w:num w:numId="2" w16cid:durableId="1832484127">
    <w:abstractNumId w:val="1"/>
  </w:num>
  <w:num w:numId="3" w16cid:durableId="302394236">
    <w:abstractNumId w:val="2"/>
  </w:num>
  <w:num w:numId="4" w16cid:durableId="1086657833">
    <w:abstractNumId w:val="3"/>
  </w:num>
  <w:num w:numId="5" w16cid:durableId="316612706">
    <w:abstractNumId w:val="4"/>
  </w:num>
  <w:num w:numId="6" w16cid:durableId="10760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6871"/>
    <w:rsid w:val="000B0467"/>
    <w:rsid w:val="000C214B"/>
    <w:rsid w:val="00132B23"/>
    <w:rsid w:val="004C7962"/>
    <w:rsid w:val="004F01E2"/>
    <w:rsid w:val="00586CDD"/>
    <w:rsid w:val="00764162"/>
    <w:rsid w:val="00803242"/>
    <w:rsid w:val="00931F7F"/>
    <w:rsid w:val="00A17C09"/>
    <w:rsid w:val="00A77B3E"/>
    <w:rsid w:val="00B66A9C"/>
    <w:rsid w:val="00C510F2"/>
    <w:rsid w:val="00CA2A55"/>
    <w:rsid w:val="00CC5005"/>
    <w:rsid w:val="00E24DB7"/>
    <w:rsid w:val="00EE475F"/>
    <w:rsid w:val="00F02E7D"/>
    <w:rsid w:val="00F815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A5193D"/>
  <w15:docId w15:val="{6DD86076-323B-482F-AA93-B750A346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EF7B9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240" w:after="60"/>
      <w:jc w:val="center"/>
      <w:outlineLvl w:val="0"/>
    </w:pPr>
    <w:rPr>
      <w:rFonts w:ascii="Arial" w:hAnsi="Arial" w:cs="Arial"/>
      <w:b/>
      <w:bCs/>
      <w:kern w:val="28"/>
      <w:sz w:val="32"/>
      <w:szCs w:val="32"/>
    </w:rPr>
  </w:style>
  <w:style w:type="table" w:customStyle="1" w:styleId="image">
    <w:name w:val="image"/>
    <w:basedOn w:val="Vanligtabell"/>
    <w:tblPr/>
  </w:style>
  <w:style w:type="table" w:styleId="Rutenettabell1lys">
    <w:name w:val="Grid Table 1 Light"/>
    <w:basedOn w:val="Vanligtabell"/>
    <w:uiPriority w:val="46"/>
    <w:rsid w:val="00253C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verskriftforinnholdsfortegnelse">
    <w:name w:val="TOC Heading"/>
    <w:basedOn w:val="Overskrift1"/>
    <w:next w:val="Normal"/>
    <w:uiPriority w:val="39"/>
    <w:unhideWhenUsed/>
    <w:qFormat/>
    <w:rsid w:val="00586CDD"/>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b-NO"/>
    </w:rPr>
  </w:style>
  <w:style w:type="paragraph" w:styleId="INNH1">
    <w:name w:val="toc 1"/>
    <w:basedOn w:val="Normal"/>
    <w:next w:val="Normal"/>
    <w:autoRedefine/>
    <w:uiPriority w:val="39"/>
    <w:rsid w:val="00586CDD"/>
    <w:pPr>
      <w:spacing w:after="100"/>
    </w:pPr>
  </w:style>
  <w:style w:type="paragraph" w:styleId="INNH2">
    <w:name w:val="toc 2"/>
    <w:basedOn w:val="Normal"/>
    <w:next w:val="Normal"/>
    <w:autoRedefine/>
    <w:uiPriority w:val="39"/>
    <w:rsid w:val="00586CDD"/>
    <w:pPr>
      <w:spacing w:after="100"/>
      <w:ind w:left="240"/>
    </w:pPr>
  </w:style>
  <w:style w:type="character" w:styleId="Hyperkobling">
    <w:name w:val="Hyperlink"/>
    <w:basedOn w:val="Standardskriftforavsnitt"/>
    <w:uiPriority w:val="99"/>
    <w:unhideWhenUsed/>
    <w:rsid w:val="00586CDD"/>
    <w:rPr>
      <w:color w:val="0000FF" w:themeColor="hyperlink"/>
      <w:u w:val="single"/>
    </w:rPr>
  </w:style>
  <w:style w:type="table" w:styleId="Rutenettabelllys">
    <w:name w:val="Grid Table Light"/>
    <w:basedOn w:val="Vanligtabell"/>
    <w:uiPriority w:val="40"/>
    <w:rsid w:val="00132B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avsnitt">
    <w:name w:val="List Paragraph"/>
    <w:basedOn w:val="Normal"/>
    <w:uiPriority w:val="34"/>
    <w:qFormat/>
    <w:rsid w:val="00132B23"/>
    <w:pPr>
      <w:ind w:left="720"/>
      <w:contextualSpacing/>
    </w:pPr>
    <w:rPr>
      <w:rFonts w:asciiTheme="minorHAnsi" w:eastAsiaTheme="minorHAnsi" w:hAnsiTheme="minorHAnsi" w:cstheme="minorBidi"/>
      <w:kern w:val="2"/>
      <w:sz w:val="20"/>
      <w:szCs w:val="20"/>
    </w:rPr>
  </w:style>
  <w:style w:type="character" w:styleId="Sterk">
    <w:name w:val="Strong"/>
    <w:basedOn w:val="Standardskriftforavsnitt"/>
    <w:qFormat/>
    <w:rsid w:val="000B04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n.no/om-fn/fns-baerekraftsmaal" TargetMode="External"/><Relationship Id="rId18" Type="http://schemas.openxmlformats.org/officeDocument/2006/relationships/hyperlink" Target="https://opengov.360online.com/Meetings/gjemnes/File/Details/334527.PDF?fileName=Planstrategi%20og%20planprogram%20revidert%20etter%20h%C3%B8ring&amp;fileSize=114859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gjemnes.kommune.no/tjenester/plan-bygg-og-eiendom/plan/planer-og-styringsdokument/" TargetMode="External"/><Relationship Id="rId17" Type="http://schemas.openxmlformats.org/officeDocument/2006/relationships/hyperlink" Target="http://www.nipr.no/tjenester/nordmorsstrategien/nordmorstrategien/"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mrfylke.no/tenester/plan-okonomi-og-statistikk/regional-planlegging/" TargetMode="External"/><Relationship Id="rId20" Type="http://schemas.openxmlformats.org/officeDocument/2006/relationships/hyperlink" Target="https://www.ungdata.n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jemnes.kommune.no/tjenester/plan-bygg-og-eiendom/plan/planer-og-styringsdokument/" TargetMode="External"/><Relationship Id="rId5" Type="http://schemas.openxmlformats.org/officeDocument/2006/relationships/webSettings" Target="webSettings.xml"/><Relationship Id="rId15" Type="http://schemas.openxmlformats.org/officeDocument/2006/relationships/hyperlink" Target="https://www.regjeringen.no/no/dokumenter/nasjonale-forventninger-til-regional-og-kommunal-planlegging-20232027/id2985764/?ch=1"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www.ssb.no/kommunefakta/gjemnes" TargetMode="External"/><Relationship Id="rId19" Type="http://schemas.openxmlformats.org/officeDocument/2006/relationships/hyperlink" Target="https://www.gjemnes.kommune.no/_f/p1/i0b61d887-305a-408a-866c-c3898abfb479/folkehelseoversikt-2019-endelig-utgave-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E1AE-61C4-48FA-A708-2DFB9B3C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Pages>
  <Words>2084</Words>
  <Characters>11048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Odd-Arild Bugge</cp:lastModifiedBy>
  <cp:revision>16</cp:revision>
  <dcterms:created xsi:type="dcterms:W3CDTF">2025-06-18T07:23:00Z</dcterms:created>
  <dcterms:modified xsi:type="dcterms:W3CDTF">2025-06-18T10:17:00Z</dcterms:modified>
</cp:coreProperties>
</file>